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1EB7B" w14:textId="77777777" w:rsidR="00C27A7F" w:rsidRDefault="00C27A7F" w:rsidP="00267092">
      <w:pPr>
        <w:jc w:val="both"/>
        <w:rPr>
          <w:rFonts w:cs="Arial"/>
          <w:b/>
          <w:color w:val="FFFFFF" w:themeColor="background1"/>
          <w:lang w:val="en-AU"/>
        </w:rPr>
      </w:pPr>
    </w:p>
    <w:p w14:paraId="01FD185A" w14:textId="2D08DA2F" w:rsidR="00267092" w:rsidRPr="00C27A7F" w:rsidRDefault="00C27A7F" w:rsidP="00C27A7F">
      <w:pPr>
        <w:ind w:left="3828"/>
        <w:jc w:val="both"/>
        <w:rPr>
          <w:rFonts w:cs="Arial"/>
          <w:b/>
          <w:color w:val="FFFFFF" w:themeColor="background1"/>
          <w:lang w:val="en-AU"/>
        </w:rPr>
      </w:pP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p>
    <w:p w14:paraId="568D3B65" w14:textId="77777777" w:rsidR="00ED0F9D" w:rsidRPr="00CB4597" w:rsidRDefault="00ED0F9D" w:rsidP="00ED0F9D">
      <w:pPr>
        <w:pStyle w:val="ListParagraph"/>
        <w:numPr>
          <w:ilvl w:val="0"/>
          <w:numId w:val="4"/>
        </w:numPr>
        <w:ind w:left="4536" w:hanging="708"/>
        <w:contextualSpacing w:val="0"/>
        <w:jc w:val="both"/>
        <w:rPr>
          <w:rFonts w:cs="Arial"/>
          <w:b/>
          <w:color w:val="FFFFFF" w:themeColor="background1"/>
          <w:sz w:val="18"/>
          <w:szCs w:val="18"/>
          <w:lang w:val="en-AU"/>
        </w:rPr>
      </w:pPr>
      <w:r w:rsidRPr="00CB4597">
        <w:rPr>
          <w:rFonts w:cs="Arial"/>
          <w:b/>
          <w:color w:val="FFFFFF" w:themeColor="background1"/>
          <w:sz w:val="18"/>
          <w:szCs w:val="18"/>
          <w:lang w:val="en-AU"/>
        </w:rPr>
        <w:t>Population Disaggr</w:t>
      </w:r>
      <w:r>
        <w:rPr>
          <w:rFonts w:cs="Arial"/>
          <w:b/>
          <w:color w:val="FFFFFF" w:themeColor="background1"/>
          <w:sz w:val="18"/>
          <w:szCs w:val="18"/>
          <w:lang w:val="en-AU"/>
        </w:rPr>
        <w:t>egation: 51% male to 49% female</w:t>
      </w:r>
      <w:r w:rsidRPr="00CB4597">
        <w:rPr>
          <w:color w:val="FFFFFF" w:themeColor="background1"/>
          <w:sz w:val="18"/>
          <w:szCs w:val="18"/>
          <w:vertAlign w:val="superscript"/>
        </w:rPr>
        <w:endnoteReference w:id="1"/>
      </w:r>
    </w:p>
    <w:p w14:paraId="032C6C22" w14:textId="77777777" w:rsidR="00ED0F9D" w:rsidRPr="00CB4597" w:rsidRDefault="00ED0F9D" w:rsidP="00ED0F9D">
      <w:pPr>
        <w:pStyle w:val="ListParagraph"/>
        <w:numPr>
          <w:ilvl w:val="0"/>
          <w:numId w:val="4"/>
        </w:numPr>
        <w:ind w:left="4536" w:hanging="708"/>
        <w:jc w:val="both"/>
        <w:rPr>
          <w:rFonts w:cs="Arial"/>
          <w:b/>
          <w:color w:val="FFFFFF" w:themeColor="background1"/>
          <w:sz w:val="18"/>
          <w:szCs w:val="18"/>
          <w:lang w:val="en-AU"/>
        </w:rPr>
      </w:pPr>
      <w:r w:rsidRPr="00CB4597">
        <w:rPr>
          <w:rFonts w:cs="Arial"/>
          <w:b/>
          <w:color w:val="FFFFFF" w:themeColor="background1"/>
          <w:sz w:val="18"/>
          <w:szCs w:val="18"/>
          <w:lang w:val="en-AU"/>
        </w:rPr>
        <w:t>Population Age &amp; Sex Disaggregation: &lt;5yrs 15% (7% female and 8% male); 5-19yrs 35.5% (17% female and 18.5% male); 20-</w:t>
      </w:r>
      <w:r w:rsidRPr="000251B2">
        <w:rPr>
          <w:rFonts w:cs="Arial"/>
          <w:color w:val="FFFFFF" w:themeColor="background1"/>
          <w:sz w:val="18"/>
          <w:szCs w:val="18"/>
          <w:lang w:val="en-AU"/>
        </w:rPr>
        <w:t>64yrs</w:t>
      </w:r>
      <w:r w:rsidRPr="00CB4597">
        <w:rPr>
          <w:rFonts w:cs="Arial"/>
          <w:b/>
          <w:color w:val="FFFFFF" w:themeColor="background1"/>
          <w:sz w:val="18"/>
          <w:szCs w:val="18"/>
          <w:lang w:val="en-AU"/>
        </w:rPr>
        <w:t xml:space="preserve"> 46% (23% female and 23% male); &gt;65yrs 3.5% (1.5% female and 2% male)</w:t>
      </w:r>
      <w:r>
        <w:rPr>
          <w:rStyle w:val="EndnoteReference"/>
          <w:rFonts w:cs="Arial"/>
          <w:b/>
          <w:color w:val="FFFFFF" w:themeColor="background1"/>
          <w:sz w:val="18"/>
          <w:szCs w:val="18"/>
          <w:lang w:val="en-AU"/>
        </w:rPr>
        <w:endnoteReference w:id="2"/>
      </w:r>
    </w:p>
    <w:p w14:paraId="5A3D110B" w14:textId="77777777" w:rsidR="00ED0F9D" w:rsidRPr="00CB4597" w:rsidRDefault="00ED0F9D" w:rsidP="00ED0F9D">
      <w:pPr>
        <w:pStyle w:val="ListParagraph"/>
        <w:numPr>
          <w:ilvl w:val="0"/>
          <w:numId w:val="4"/>
        </w:numPr>
        <w:ind w:left="4536" w:hanging="708"/>
        <w:jc w:val="both"/>
        <w:rPr>
          <w:rFonts w:cs="Arial"/>
          <w:b/>
          <w:color w:val="FFFFFF" w:themeColor="background1"/>
          <w:sz w:val="18"/>
          <w:szCs w:val="18"/>
          <w:lang w:val="en-AU"/>
        </w:rPr>
      </w:pPr>
      <w:r w:rsidRPr="00CB4597">
        <w:rPr>
          <w:rFonts w:cs="Arial"/>
          <w:b/>
          <w:color w:val="FFFFFF" w:themeColor="background1"/>
          <w:sz w:val="18"/>
          <w:szCs w:val="18"/>
          <w:lang w:val="en-AU"/>
        </w:rPr>
        <w:t>Household Size: 5</w:t>
      </w:r>
      <w:r w:rsidRPr="00CB4597">
        <w:rPr>
          <w:rFonts w:cs="Arial"/>
          <w:b/>
          <w:color w:val="FFFFFF" w:themeColor="background1"/>
          <w:sz w:val="18"/>
          <w:szCs w:val="18"/>
          <w:vertAlign w:val="superscript"/>
          <w:lang w:val="en-AU"/>
        </w:rPr>
        <w:t xml:space="preserve"> </w:t>
      </w:r>
      <w:r w:rsidRPr="00CB4597">
        <w:rPr>
          <w:rFonts w:cs="Arial"/>
          <w:b/>
          <w:color w:val="FFFFFF" w:themeColor="background1"/>
          <w:sz w:val="18"/>
          <w:szCs w:val="18"/>
          <w:lang w:val="en-AU"/>
        </w:rPr>
        <w:t>(Urban – 6</w:t>
      </w:r>
      <w:r>
        <w:rPr>
          <w:rFonts w:cs="Arial"/>
          <w:b/>
          <w:color w:val="FFFFFF" w:themeColor="background1"/>
          <w:sz w:val="18"/>
          <w:szCs w:val="18"/>
          <w:lang w:val="en-AU"/>
        </w:rPr>
        <w:t>;</w:t>
      </w:r>
      <w:r w:rsidRPr="00CB4597">
        <w:rPr>
          <w:rFonts w:cs="Arial"/>
          <w:b/>
          <w:color w:val="FFFFFF" w:themeColor="background1"/>
          <w:sz w:val="18"/>
          <w:szCs w:val="18"/>
          <w:lang w:val="en-AU"/>
        </w:rPr>
        <w:t xml:space="preserve"> Rural - 5)</w:t>
      </w:r>
      <w:r>
        <w:rPr>
          <w:rStyle w:val="EndnoteReference"/>
          <w:rFonts w:cs="Arial"/>
          <w:b/>
          <w:color w:val="FFFFFF" w:themeColor="background1"/>
          <w:sz w:val="18"/>
          <w:szCs w:val="18"/>
          <w:lang w:val="en-AU"/>
        </w:rPr>
        <w:endnoteReference w:id="3"/>
      </w:r>
    </w:p>
    <w:p w14:paraId="73C3B1C8" w14:textId="77777777" w:rsidR="00ED0F9D" w:rsidRDefault="00ED0F9D" w:rsidP="00ED0F9D">
      <w:pPr>
        <w:pStyle w:val="ListParagraph"/>
        <w:numPr>
          <w:ilvl w:val="0"/>
          <w:numId w:val="4"/>
        </w:numPr>
        <w:ind w:left="4536" w:hanging="708"/>
        <w:jc w:val="both"/>
        <w:rPr>
          <w:rFonts w:cs="Arial"/>
          <w:b/>
          <w:color w:val="FFFFFF" w:themeColor="background1"/>
          <w:sz w:val="18"/>
          <w:szCs w:val="18"/>
          <w:lang w:val="en-AU"/>
        </w:rPr>
      </w:pPr>
      <w:r w:rsidRPr="00CB4597">
        <w:rPr>
          <w:rFonts w:cs="Arial"/>
          <w:b/>
          <w:color w:val="FFFFFF" w:themeColor="background1"/>
          <w:sz w:val="18"/>
          <w:szCs w:val="18"/>
          <w:lang w:val="en-AU"/>
        </w:rPr>
        <w:t>Female headed households: 18%</w:t>
      </w:r>
      <w:r>
        <w:rPr>
          <w:rStyle w:val="EndnoteReference"/>
          <w:rFonts w:cs="Arial"/>
          <w:b/>
          <w:color w:val="FFFFFF" w:themeColor="background1"/>
          <w:sz w:val="18"/>
          <w:szCs w:val="18"/>
          <w:lang w:val="en-AU"/>
        </w:rPr>
        <w:endnoteReference w:id="4"/>
      </w:r>
    </w:p>
    <w:p w14:paraId="35882DE2" w14:textId="77777777" w:rsidR="00ED0F9D" w:rsidRPr="00CB4597" w:rsidRDefault="00ED0F9D" w:rsidP="00ED0F9D">
      <w:pPr>
        <w:pStyle w:val="ListParagraph"/>
        <w:numPr>
          <w:ilvl w:val="0"/>
          <w:numId w:val="4"/>
        </w:numPr>
        <w:ind w:left="4536" w:hanging="708"/>
        <w:jc w:val="both"/>
        <w:rPr>
          <w:rFonts w:cs="Arial"/>
          <w:b/>
          <w:color w:val="FFFFFF" w:themeColor="background1"/>
          <w:sz w:val="18"/>
          <w:szCs w:val="18"/>
          <w:lang w:val="en-AU"/>
        </w:rPr>
      </w:pPr>
      <w:r>
        <w:rPr>
          <w:rFonts w:cs="Arial"/>
          <w:b/>
          <w:color w:val="FFFFFF" w:themeColor="background1"/>
          <w:sz w:val="18"/>
          <w:szCs w:val="18"/>
          <w:lang w:val="en-AU"/>
        </w:rPr>
        <w:t>Literacy Rates 15-24yrs: male 91%; female 88%</w:t>
      </w:r>
      <w:r>
        <w:rPr>
          <w:rStyle w:val="EndnoteReference"/>
          <w:rFonts w:cs="Arial"/>
          <w:b/>
          <w:color w:val="FFFFFF" w:themeColor="background1"/>
          <w:sz w:val="18"/>
          <w:szCs w:val="18"/>
          <w:lang w:val="en-AU"/>
        </w:rPr>
        <w:endnoteReference w:id="5"/>
      </w:r>
    </w:p>
    <w:p w14:paraId="4455040E" w14:textId="77777777" w:rsidR="00ED0F9D" w:rsidRPr="00CB4597" w:rsidRDefault="00ED0F9D" w:rsidP="00ED0F9D">
      <w:pPr>
        <w:pStyle w:val="ListParagraph"/>
        <w:numPr>
          <w:ilvl w:val="0"/>
          <w:numId w:val="4"/>
        </w:numPr>
        <w:ind w:left="4536" w:hanging="708"/>
        <w:jc w:val="both"/>
        <w:rPr>
          <w:rFonts w:cs="Arial"/>
          <w:b/>
          <w:color w:val="FFFFFF" w:themeColor="background1"/>
          <w:sz w:val="18"/>
          <w:szCs w:val="18"/>
          <w:lang w:val="en-AU"/>
        </w:rPr>
      </w:pPr>
      <w:r w:rsidRPr="00CB4597">
        <w:rPr>
          <w:rFonts w:cs="Arial"/>
          <w:b/>
          <w:color w:val="FFFFFF" w:themeColor="background1"/>
          <w:sz w:val="18"/>
          <w:szCs w:val="18"/>
          <w:lang w:val="en-AU"/>
        </w:rPr>
        <w:t>Under 5 Mortality Rate: 24 per 1000 live births</w:t>
      </w:r>
      <w:r>
        <w:rPr>
          <w:rStyle w:val="EndnoteReference"/>
          <w:rFonts w:cs="Arial"/>
          <w:b/>
          <w:color w:val="FFFFFF" w:themeColor="background1"/>
          <w:sz w:val="18"/>
          <w:szCs w:val="18"/>
          <w:lang w:val="en-AU"/>
        </w:rPr>
        <w:endnoteReference w:id="6"/>
      </w:r>
      <w:r w:rsidRPr="00CB4597">
        <w:rPr>
          <w:rFonts w:cs="Arial"/>
          <w:b/>
          <w:color w:val="FFFFFF" w:themeColor="background1"/>
          <w:sz w:val="18"/>
          <w:szCs w:val="18"/>
          <w:lang w:val="en-AU"/>
        </w:rPr>
        <w:t xml:space="preserve">  </w:t>
      </w:r>
    </w:p>
    <w:p w14:paraId="0C895578" w14:textId="77777777" w:rsidR="00ED0F9D" w:rsidRPr="00CB4597" w:rsidRDefault="00ED0F9D" w:rsidP="00ED0F9D">
      <w:pPr>
        <w:pStyle w:val="ListParagraph"/>
        <w:numPr>
          <w:ilvl w:val="0"/>
          <w:numId w:val="4"/>
        </w:numPr>
        <w:ind w:left="4536" w:hanging="708"/>
        <w:jc w:val="both"/>
        <w:rPr>
          <w:rFonts w:cs="Arial"/>
          <w:b/>
          <w:color w:val="FFFFFF" w:themeColor="background1"/>
          <w:sz w:val="18"/>
          <w:szCs w:val="18"/>
          <w:lang w:val="en-AU"/>
        </w:rPr>
      </w:pPr>
      <w:r w:rsidRPr="00CB4597">
        <w:rPr>
          <w:rFonts w:cs="Arial"/>
          <w:b/>
          <w:color w:val="FFFFFF" w:themeColor="background1"/>
          <w:sz w:val="18"/>
          <w:szCs w:val="18"/>
          <w:lang w:val="en-AU"/>
        </w:rPr>
        <w:t>Maternal Health: Maternal mortality 114 per 100,000 live births</w:t>
      </w:r>
      <w:r>
        <w:rPr>
          <w:rStyle w:val="EndnoteReference"/>
          <w:rFonts w:cs="Arial"/>
          <w:b/>
          <w:color w:val="FFFFFF" w:themeColor="background1"/>
          <w:sz w:val="18"/>
          <w:szCs w:val="18"/>
          <w:lang w:val="en-AU"/>
        </w:rPr>
        <w:endnoteReference w:id="7"/>
      </w:r>
      <w:r w:rsidRPr="00CB4597">
        <w:rPr>
          <w:rFonts w:cs="Arial"/>
          <w:b/>
          <w:color w:val="FFFFFF" w:themeColor="background1"/>
          <w:sz w:val="18"/>
          <w:szCs w:val="18"/>
          <w:lang w:val="en-AU"/>
        </w:rPr>
        <w:t xml:space="preserve">  </w:t>
      </w:r>
    </w:p>
    <w:p w14:paraId="0BA0A1E8" w14:textId="77777777" w:rsidR="00ED0F9D" w:rsidRPr="00CB4597" w:rsidRDefault="00ED0F9D" w:rsidP="00ED0F9D">
      <w:pPr>
        <w:pStyle w:val="ListParagraph"/>
        <w:numPr>
          <w:ilvl w:val="0"/>
          <w:numId w:val="4"/>
        </w:numPr>
        <w:ind w:left="4536" w:hanging="708"/>
        <w:jc w:val="both"/>
        <w:rPr>
          <w:rFonts w:cs="Arial"/>
          <w:b/>
          <w:color w:val="FFFFFF" w:themeColor="background1"/>
          <w:sz w:val="18"/>
          <w:szCs w:val="18"/>
          <w:lang w:val="en-AU"/>
        </w:rPr>
      </w:pPr>
      <w:r w:rsidRPr="00CB4597">
        <w:rPr>
          <w:rFonts w:cs="Arial"/>
          <w:b/>
          <w:color w:val="FFFFFF" w:themeColor="background1"/>
          <w:sz w:val="18"/>
          <w:szCs w:val="18"/>
          <w:lang w:val="en-AU"/>
        </w:rPr>
        <w:t>Rate of Domestic Violence: 63.5%</w:t>
      </w:r>
      <w:r>
        <w:rPr>
          <w:rStyle w:val="EndnoteReference"/>
          <w:rFonts w:cs="Arial"/>
          <w:b/>
          <w:color w:val="FFFFFF" w:themeColor="background1"/>
          <w:sz w:val="18"/>
          <w:szCs w:val="18"/>
          <w:lang w:val="en-AU"/>
        </w:rPr>
        <w:endnoteReference w:id="8"/>
      </w:r>
      <w:r w:rsidRPr="00CB4597">
        <w:rPr>
          <w:rFonts w:cs="Arial"/>
          <w:b/>
          <w:color w:val="FFFFFF" w:themeColor="background1"/>
          <w:sz w:val="18"/>
          <w:szCs w:val="18"/>
          <w:lang w:val="en-AU"/>
        </w:rPr>
        <w:t xml:space="preserve"> </w:t>
      </w:r>
    </w:p>
    <w:p w14:paraId="5E0D0AA2" w14:textId="3EC2DC5D" w:rsidR="00532BCD" w:rsidRDefault="00ED0F9D" w:rsidP="00ED0F9D">
      <w:pPr>
        <w:pStyle w:val="ListParagraph"/>
        <w:numPr>
          <w:ilvl w:val="0"/>
          <w:numId w:val="4"/>
        </w:numPr>
        <w:ind w:left="4536" w:hanging="708"/>
        <w:jc w:val="both"/>
        <w:rPr>
          <w:rFonts w:cs="Arial"/>
          <w:b/>
          <w:color w:val="FFFFFF" w:themeColor="background1"/>
          <w:sz w:val="18"/>
          <w:szCs w:val="18"/>
          <w:lang w:val="en-AU"/>
        </w:rPr>
      </w:pPr>
      <w:r w:rsidRPr="00CB4597">
        <w:rPr>
          <w:rFonts w:cs="Arial"/>
          <w:b/>
          <w:color w:val="FFFFFF" w:themeColor="background1"/>
          <w:sz w:val="18"/>
          <w:szCs w:val="18"/>
          <w:lang w:val="en-AU"/>
        </w:rPr>
        <w:t xml:space="preserve">Proportion of People with Disability: 14% (15% women, 13% men) </w:t>
      </w:r>
      <w:r>
        <w:rPr>
          <w:rStyle w:val="EndnoteReference"/>
          <w:rFonts w:cs="Arial"/>
          <w:b/>
          <w:color w:val="FFFFFF" w:themeColor="background1"/>
          <w:sz w:val="18"/>
          <w:szCs w:val="18"/>
          <w:lang w:val="en-AU"/>
        </w:rPr>
        <w:endnoteReference w:id="9"/>
      </w:r>
    </w:p>
    <w:p w14:paraId="548CA7B0" w14:textId="77777777" w:rsidR="00ED0F9D" w:rsidRPr="00ED0F9D" w:rsidRDefault="00ED0F9D" w:rsidP="00ED0F9D">
      <w:pPr>
        <w:pStyle w:val="ListParagraph"/>
        <w:numPr>
          <w:ilvl w:val="0"/>
          <w:numId w:val="4"/>
        </w:numPr>
        <w:ind w:left="4536" w:hanging="708"/>
        <w:jc w:val="both"/>
        <w:rPr>
          <w:rFonts w:cs="Arial"/>
          <w:b/>
          <w:color w:val="FFFFFF" w:themeColor="background1"/>
          <w:sz w:val="18"/>
          <w:szCs w:val="18"/>
          <w:lang w:val="en-AU"/>
        </w:rPr>
      </w:pPr>
    </w:p>
    <w:p w14:paraId="355DCAC9" w14:textId="77777777" w:rsidR="00030DBE" w:rsidRPr="00030DBE" w:rsidRDefault="00267092" w:rsidP="00C27A7F">
      <w:pPr>
        <w:pStyle w:val="Heading1"/>
      </w:pPr>
      <w:r>
        <w:t>Gender in Brief</w:t>
      </w:r>
    </w:p>
    <w:p w14:paraId="3A105A32" w14:textId="02C11300" w:rsidR="00ED0F9D" w:rsidRPr="00FF3763" w:rsidRDefault="00ED0F9D" w:rsidP="00ED0F9D">
      <w:pPr>
        <w:pStyle w:val="ListParagraph"/>
        <w:ind w:left="0"/>
        <w:jc w:val="both"/>
        <w:rPr>
          <w:szCs w:val="20"/>
          <w:lang w:val="en-AU"/>
        </w:rPr>
      </w:pPr>
      <w:r>
        <w:rPr>
          <w:lang w:val="en-AU"/>
        </w:rPr>
        <w:t xml:space="preserve">The </w:t>
      </w:r>
      <w:r>
        <w:t xml:space="preserve">Solomon Islands (SI) </w:t>
      </w:r>
      <w:r w:rsidRPr="001610AC">
        <w:t xml:space="preserve">comprises 6 main islands and numerous smaller islands stretching across 1300 </w:t>
      </w:r>
      <w:proofErr w:type="spellStart"/>
      <w:r w:rsidRPr="001610AC">
        <w:t>sq</w:t>
      </w:r>
      <w:proofErr w:type="spellEnd"/>
      <w:r w:rsidRPr="001610AC">
        <w:t xml:space="preserve"> km ocean. The population </w:t>
      </w:r>
      <w:r>
        <w:t>of SI</w:t>
      </w:r>
      <w:r w:rsidRPr="001610AC">
        <w:t xml:space="preserve"> was estimated at </w:t>
      </w:r>
      <w:r w:rsidRPr="001610AC">
        <w:rPr>
          <w:rFonts w:eastAsia="Times New Roman"/>
          <w:lang w:val="en-AU"/>
        </w:rPr>
        <w:t>639157 as of 2016</w:t>
      </w:r>
      <w:r w:rsidRPr="001610AC">
        <w:rPr>
          <w:rStyle w:val="EndnoteReference"/>
          <w:rFonts w:eastAsia="Times New Roman"/>
          <w:lang w:val="en-AU"/>
        </w:rPr>
        <w:endnoteReference w:id="10"/>
      </w:r>
      <w:r w:rsidRPr="001610AC">
        <w:rPr>
          <w:rFonts w:eastAsia="Times New Roman"/>
          <w:lang w:val="en-AU"/>
        </w:rPr>
        <w:t>, spread across 9 provinces</w:t>
      </w:r>
      <w:r>
        <w:rPr>
          <w:rFonts w:eastAsia="Times New Roman"/>
          <w:lang w:val="en-AU"/>
        </w:rPr>
        <w:t xml:space="preserve"> and is culturally and linguistically diverse with 87 different languages</w:t>
      </w:r>
      <w:r>
        <w:rPr>
          <w:rStyle w:val="EndnoteReference"/>
          <w:rFonts w:eastAsia="Times New Roman"/>
          <w:lang w:val="en-AU"/>
        </w:rPr>
        <w:endnoteReference w:id="11"/>
      </w:r>
      <w:r>
        <w:rPr>
          <w:rFonts w:eastAsia="Times New Roman"/>
          <w:lang w:val="en-AU"/>
        </w:rPr>
        <w:t>.</w:t>
      </w:r>
      <w:r w:rsidRPr="00161B42">
        <w:rPr>
          <w:color w:val="FF0000"/>
          <w:lang w:val="en-AU"/>
        </w:rPr>
        <w:t xml:space="preserve"> </w:t>
      </w:r>
      <w:r w:rsidRPr="008F3B0F">
        <w:rPr>
          <w:lang w:val="en-AU"/>
        </w:rPr>
        <w:t>Ethnically the population is made up of 94%</w:t>
      </w:r>
      <w:r>
        <w:t xml:space="preserve"> Melanesians; 4% Polynesians; and 2% Asians, Caucasians and Micronesians</w:t>
      </w:r>
      <w:r>
        <w:rPr>
          <w:rStyle w:val="EndnoteReference"/>
        </w:rPr>
        <w:endnoteReference w:id="12"/>
      </w:r>
      <w:r>
        <w:t xml:space="preserve">. SI </w:t>
      </w:r>
      <w:r w:rsidRPr="004F22D1">
        <w:rPr>
          <w:szCs w:val="20"/>
          <w:lang w:val="en-AU"/>
        </w:rPr>
        <w:t>can be characterised as a patriarchal society</w:t>
      </w:r>
      <w:r>
        <w:rPr>
          <w:szCs w:val="20"/>
          <w:lang w:val="en-AU"/>
        </w:rPr>
        <w:t xml:space="preserve"> with both patrilineal and matrilineal lineages, </w:t>
      </w:r>
      <w:r w:rsidRPr="004F22D1">
        <w:rPr>
          <w:szCs w:val="20"/>
          <w:lang w:val="en-AU"/>
        </w:rPr>
        <w:t xml:space="preserve">in which women continue to face, inequalities, in all spheres of life: social, cultural, economic and political. </w:t>
      </w:r>
      <w:r>
        <w:rPr>
          <w:szCs w:val="20"/>
          <w:lang w:val="en-AU"/>
        </w:rPr>
        <w:t xml:space="preserve">Internal </w:t>
      </w:r>
      <w:r>
        <w:t>migration for economic opportunities has existed since colonization and has been the source of considerable tension between islanders. Inter-provincial marriages, mixing patrilineal and matrilineal traditions, has complicated land ownership, community relations and gender relationships.</w:t>
      </w:r>
      <w:r>
        <w:rPr>
          <w:color w:val="FF0000"/>
        </w:rPr>
        <w:t xml:space="preserve"> </w:t>
      </w:r>
      <w:r>
        <w:t>An estimated 80% live in rural areas, many in remote islands and mountainous terrain, and poverty is largely a rural phenomenon</w:t>
      </w:r>
      <w:r w:rsidRPr="00FC3608">
        <w:rPr>
          <w:rFonts w:cs="Arial"/>
        </w:rPr>
        <w:t>.</w:t>
      </w:r>
      <w:r>
        <w:rPr>
          <w:rFonts w:cs="Arial"/>
        </w:rPr>
        <w:t xml:space="preserve"> </w:t>
      </w:r>
      <w:r w:rsidRPr="000B6BDD">
        <w:t>A report on poverty and household incomes</w:t>
      </w:r>
      <w:r>
        <w:rPr>
          <w:color w:val="FF0000"/>
        </w:rPr>
        <w:t xml:space="preserve"> </w:t>
      </w:r>
      <w:r w:rsidRPr="000B6BDD">
        <w:t>indicates 12.</w:t>
      </w:r>
      <w:r>
        <w:t>7</w:t>
      </w:r>
      <w:r w:rsidRPr="000B6BDD">
        <w:t>% of the population of SI lives below the poverty line</w:t>
      </w:r>
      <w:r>
        <w:t>.</w:t>
      </w:r>
      <w:r>
        <w:rPr>
          <w:rStyle w:val="EndnoteReference"/>
        </w:rPr>
        <w:endnoteReference w:id="13"/>
      </w:r>
      <w:r>
        <w:t xml:space="preserve"> </w:t>
      </w:r>
      <w:r>
        <w:rPr>
          <w:szCs w:val="20"/>
          <w:lang w:val="en-AU"/>
        </w:rPr>
        <w:t>SI has a 2016 Huma</w:t>
      </w:r>
      <w:r w:rsidR="004C431B">
        <w:rPr>
          <w:szCs w:val="20"/>
          <w:lang w:val="en-AU"/>
        </w:rPr>
        <w:t>n Development Index (HDI) of 156/188</w:t>
      </w:r>
      <w:r>
        <w:rPr>
          <w:szCs w:val="20"/>
          <w:lang w:val="en-AU"/>
        </w:rPr>
        <w:t xml:space="preserve"> countries in comparison with Federated States of Micronesia at 126, Timor-Leste at 133, Vanuatu at 134, and PNG at 153</w:t>
      </w:r>
      <w:r>
        <w:rPr>
          <w:rStyle w:val="EndnoteReference"/>
          <w:szCs w:val="20"/>
          <w:lang w:val="en-AU"/>
        </w:rPr>
        <w:endnoteReference w:id="14"/>
      </w:r>
      <w:r w:rsidR="004C431B">
        <w:rPr>
          <w:szCs w:val="20"/>
          <w:lang w:val="en-AU"/>
        </w:rPr>
        <w:t xml:space="preserve">. There is no Gender Development Index or Gender Inequality Index </w:t>
      </w:r>
      <w:r w:rsidR="00361E10">
        <w:rPr>
          <w:szCs w:val="20"/>
          <w:lang w:val="en-AU"/>
        </w:rPr>
        <w:t xml:space="preserve">data </w:t>
      </w:r>
      <w:r w:rsidR="004C431B">
        <w:rPr>
          <w:szCs w:val="20"/>
          <w:lang w:val="en-AU"/>
        </w:rPr>
        <w:t xml:space="preserve">available </w:t>
      </w:r>
      <w:r w:rsidR="00361E10">
        <w:rPr>
          <w:szCs w:val="20"/>
          <w:lang w:val="en-AU"/>
        </w:rPr>
        <w:t>for SI.</w:t>
      </w:r>
    </w:p>
    <w:p w14:paraId="2060FDB8" w14:textId="77777777" w:rsidR="00ED0F9D" w:rsidRPr="008569E4" w:rsidRDefault="00ED0F9D" w:rsidP="00ED0F9D">
      <w:pPr>
        <w:pStyle w:val="ListParagraph"/>
        <w:ind w:left="0"/>
        <w:jc w:val="both"/>
        <w:rPr>
          <w:rFonts w:cs="Arial"/>
          <w:b/>
          <w:sz w:val="12"/>
          <w:szCs w:val="12"/>
          <w:lang w:val="en-AU"/>
        </w:rPr>
      </w:pPr>
    </w:p>
    <w:p w14:paraId="43F22F3F" w14:textId="242EDD7F" w:rsidR="00ED0F9D" w:rsidRPr="00890A81" w:rsidRDefault="00ED0F9D" w:rsidP="00ED0F9D">
      <w:pPr>
        <w:pStyle w:val="ListParagraph"/>
        <w:ind w:left="0"/>
        <w:jc w:val="both"/>
      </w:pPr>
      <w:r w:rsidRPr="00577AA4">
        <w:rPr>
          <w:rFonts w:cs="Arial"/>
          <w:b/>
          <w:lang w:val="en-AU"/>
        </w:rPr>
        <w:t>Traditional roles and resp</w:t>
      </w:r>
      <w:r>
        <w:rPr>
          <w:rFonts w:cs="Arial"/>
          <w:b/>
          <w:lang w:val="en-AU"/>
        </w:rPr>
        <w:t xml:space="preserve">onsibilities for men and women: </w:t>
      </w:r>
      <w:r>
        <w:t>Women and men generally have gendered community and household roles, influenced by traditional customs, and religious and colonial systems, which have normalized men as decision makers and women as subordinate citizen</w:t>
      </w:r>
      <w:r w:rsidR="00A71365">
        <w:t>s</w:t>
      </w:r>
      <w:r>
        <w:t xml:space="preserve"> in the public and private sphere.</w:t>
      </w:r>
      <w:r>
        <w:rPr>
          <w:rStyle w:val="EndnoteReference"/>
        </w:rPr>
        <w:endnoteReference w:id="15"/>
      </w:r>
      <w:r w:rsidRPr="00161B42">
        <w:rPr>
          <w:color w:val="FF0000"/>
        </w:rPr>
        <w:t xml:space="preserve"> </w:t>
      </w:r>
      <w:r>
        <w:t xml:space="preserve">Male dominance has also been exacerbated by recent conflicts where the population was subjected to </w:t>
      </w:r>
      <w:proofErr w:type="spellStart"/>
      <w:r>
        <w:t>militarisation</w:t>
      </w:r>
      <w:proofErr w:type="spellEnd"/>
      <w:r>
        <w:t xml:space="preserve"> and violence that promoted hyper-masculine behaviors, including violence toward women and children.</w:t>
      </w:r>
      <w:r>
        <w:rPr>
          <w:rStyle w:val="EndnoteReference"/>
        </w:rPr>
        <w:endnoteReference w:id="16"/>
      </w:r>
      <w:r>
        <w:t xml:space="preserve"> </w:t>
      </w:r>
      <w:r w:rsidRPr="00577AA4">
        <w:rPr>
          <w:rFonts w:cs="Times"/>
        </w:rPr>
        <w:t>I</w:t>
      </w:r>
      <w:r w:rsidRPr="00577AA4">
        <w:rPr>
          <w:rFonts w:cs="Arial"/>
        </w:rPr>
        <w:t>n both urban and rura</w:t>
      </w:r>
      <w:r w:rsidRPr="00577AA4">
        <w:rPr>
          <w:rFonts w:cs="Times"/>
        </w:rPr>
        <w:t xml:space="preserve">l households, </w:t>
      </w:r>
      <w:r w:rsidRPr="00577AA4">
        <w:rPr>
          <w:rFonts w:cs="Arial"/>
        </w:rPr>
        <w:t xml:space="preserve">women and girls </w:t>
      </w:r>
      <w:r>
        <w:rPr>
          <w:rFonts w:cs="Arial"/>
        </w:rPr>
        <w:t xml:space="preserve">perform the majority of unpaid household work, which in rural areas </w:t>
      </w:r>
      <w:proofErr w:type="gramStart"/>
      <w:r>
        <w:rPr>
          <w:rFonts w:cs="Arial"/>
        </w:rPr>
        <w:t>includes</w:t>
      </w:r>
      <w:proofErr w:type="gramEnd"/>
      <w:r w:rsidRPr="00FC3608">
        <w:rPr>
          <w:rFonts w:cs="Arial"/>
        </w:rPr>
        <w:t xml:space="preserve"> </w:t>
      </w:r>
      <w:r>
        <w:rPr>
          <w:rFonts w:cs="Arial"/>
        </w:rPr>
        <w:t xml:space="preserve">collecting drinking water, </w:t>
      </w:r>
      <w:r w:rsidRPr="00FC3608">
        <w:rPr>
          <w:rFonts w:cs="Arial"/>
        </w:rPr>
        <w:t>walking to a water source to do laundry, and collecting fuel wood</w:t>
      </w:r>
      <w:r>
        <w:rPr>
          <w:rFonts w:cs="Arial"/>
        </w:rPr>
        <w:t>.</w:t>
      </w:r>
      <w:r>
        <w:rPr>
          <w:rStyle w:val="EndnoteReference"/>
          <w:rFonts w:cs="Arial"/>
        </w:rPr>
        <w:endnoteReference w:id="17"/>
      </w:r>
      <w:r>
        <w:rPr>
          <w:rFonts w:cs="Arial"/>
        </w:rPr>
        <w:t xml:space="preserve"> </w:t>
      </w:r>
      <w:r w:rsidRPr="00FC3608">
        <w:rPr>
          <w:rFonts w:cs="Arial"/>
        </w:rPr>
        <w:t>In many rural areas, there is inadequate water,</w:t>
      </w:r>
      <w:r>
        <w:rPr>
          <w:rFonts w:cs="Arial"/>
        </w:rPr>
        <w:t xml:space="preserve"> </w:t>
      </w:r>
      <w:r w:rsidRPr="00FC3608">
        <w:rPr>
          <w:rFonts w:cs="Arial"/>
        </w:rPr>
        <w:t>sanitation, and energy infrastructure to support women in their household and caregiving work.</w:t>
      </w:r>
      <w:r w:rsidRPr="00577AA4">
        <w:rPr>
          <w:rFonts w:cs="Arial"/>
        </w:rPr>
        <w:t xml:space="preserve"> </w:t>
      </w:r>
      <w:r>
        <w:rPr>
          <w:rFonts w:cs="Arial"/>
        </w:rPr>
        <w:t xml:space="preserve">55% of households have access to electricity (68% of these in urban areas), 91% of households use solid fuels for cooking, and </w:t>
      </w:r>
      <w:r w:rsidRPr="00FC3608">
        <w:rPr>
          <w:rFonts w:cs="Arial"/>
        </w:rPr>
        <w:t>many in rural areas tend to use</w:t>
      </w:r>
      <w:r>
        <w:rPr>
          <w:rFonts w:cs="Arial"/>
        </w:rPr>
        <w:t xml:space="preserve"> </w:t>
      </w:r>
      <w:r w:rsidRPr="00FC3608">
        <w:rPr>
          <w:rFonts w:cs="Arial"/>
        </w:rPr>
        <w:t xml:space="preserve">shared facilities or have no toilet at </w:t>
      </w:r>
      <w:r w:rsidRPr="002A5556">
        <w:rPr>
          <w:rFonts w:cs="Arial"/>
        </w:rPr>
        <w:t>all</w:t>
      </w:r>
      <w:r w:rsidRPr="002A5556">
        <w:rPr>
          <w:rStyle w:val="EndnoteReference"/>
          <w:rFonts w:cs="Arial"/>
        </w:rPr>
        <w:endnoteReference w:id="18"/>
      </w:r>
      <w:r w:rsidRPr="002A5556">
        <w:t xml:space="preserve">. </w:t>
      </w:r>
      <w:r w:rsidRPr="002A5556">
        <w:rPr>
          <w:rFonts w:cs="Arial"/>
          <w:lang w:val="en-AU"/>
        </w:rPr>
        <w:t xml:space="preserve">In decision making, women are influential in ‘behind the scenes’ negotiations, but this is more prevalent in matrilineal </w:t>
      </w:r>
      <w:r>
        <w:rPr>
          <w:rFonts w:cs="Arial"/>
          <w:lang w:val="en-AU"/>
        </w:rPr>
        <w:t>rather than patrilineal groups. 65% of women are involved in household decision making with findings suggesting positive changes in attitudes with women gaining influence and power over time.</w:t>
      </w:r>
      <w:r>
        <w:rPr>
          <w:rStyle w:val="EndnoteReference"/>
          <w:rFonts w:cs="Arial"/>
          <w:lang w:val="en-AU"/>
        </w:rPr>
        <w:endnoteReference w:id="19"/>
      </w:r>
    </w:p>
    <w:p w14:paraId="3D0B4E97" w14:textId="77777777" w:rsidR="00ED0F9D" w:rsidRPr="008569E4" w:rsidRDefault="00ED0F9D" w:rsidP="00ED0F9D">
      <w:pPr>
        <w:pStyle w:val="ListParagraph"/>
        <w:ind w:left="0"/>
        <w:jc w:val="both"/>
        <w:rPr>
          <w:rFonts w:cs="Arial"/>
          <w:color w:val="FF0000"/>
          <w:sz w:val="12"/>
          <w:szCs w:val="12"/>
          <w:lang w:val="en-AU"/>
        </w:rPr>
      </w:pPr>
    </w:p>
    <w:p w14:paraId="75D2D45D" w14:textId="77777777" w:rsidR="00ED0F9D" w:rsidRPr="00FF3763" w:rsidRDefault="00ED0F9D" w:rsidP="00ED0F9D">
      <w:pPr>
        <w:pStyle w:val="ListParagraph"/>
        <w:ind w:left="0"/>
        <w:jc w:val="both"/>
        <w:rPr>
          <w:rFonts w:cs="Arial"/>
          <w:color w:val="FF0000"/>
          <w:lang w:val="en-AU"/>
        </w:rPr>
      </w:pPr>
      <w:r w:rsidRPr="00CE5CED">
        <w:rPr>
          <w:rFonts w:cs="Arial"/>
          <w:b/>
          <w:lang w:val="en-AU"/>
        </w:rPr>
        <w:t>Education &amp; Economic Empowerment:</w:t>
      </w:r>
      <w:r>
        <w:rPr>
          <w:rFonts w:cs="Arial"/>
          <w:color w:val="FF0000"/>
          <w:lang w:val="en-AU"/>
        </w:rPr>
        <w:t xml:space="preserve"> </w:t>
      </w:r>
      <w:r>
        <w:rPr>
          <w:rFonts w:cs="Arial"/>
          <w:lang w:val="en-AU"/>
        </w:rPr>
        <w:t>Literacy</w:t>
      </w:r>
      <w:r w:rsidRPr="00364FCB">
        <w:rPr>
          <w:rFonts w:cs="Arial"/>
          <w:lang w:val="en-AU"/>
        </w:rPr>
        <w:t xml:space="preserve"> rates in </w:t>
      </w:r>
      <w:r>
        <w:rPr>
          <w:rFonts w:cs="Arial"/>
          <w:lang w:val="en-AU"/>
        </w:rPr>
        <w:t>SI</w:t>
      </w:r>
      <w:r w:rsidRPr="00364FCB">
        <w:rPr>
          <w:rFonts w:cs="Arial"/>
          <w:lang w:val="en-AU"/>
        </w:rPr>
        <w:t xml:space="preserve"> are reasonably high: 89% of men and</w:t>
      </w:r>
      <w:r>
        <w:rPr>
          <w:rFonts w:cs="Arial"/>
          <w:lang w:val="en-AU"/>
        </w:rPr>
        <w:t xml:space="preserve"> </w:t>
      </w:r>
      <w:r w:rsidRPr="00364FCB">
        <w:rPr>
          <w:rFonts w:cs="Arial"/>
          <w:lang w:val="en-AU"/>
        </w:rPr>
        <w:t>79% of women</w:t>
      </w:r>
      <w:r>
        <w:rPr>
          <w:rFonts w:cs="Arial"/>
          <w:lang w:val="en-AU"/>
        </w:rPr>
        <w:t>.</w:t>
      </w:r>
      <w:r>
        <w:rPr>
          <w:rStyle w:val="EndnoteReference"/>
          <w:rFonts w:cs="Arial"/>
          <w:lang w:val="en-AU"/>
        </w:rPr>
        <w:endnoteReference w:id="20"/>
      </w:r>
      <w:r>
        <w:rPr>
          <w:rFonts w:cs="Arial"/>
          <w:lang w:val="en-AU"/>
        </w:rPr>
        <w:t xml:space="preserve"> La</w:t>
      </w:r>
      <w:r w:rsidRPr="008546A5">
        <w:rPr>
          <w:rFonts w:cs="Arial"/>
          <w:lang w:val="en-AU"/>
        </w:rPr>
        <w:t>ck of literacy isolate</w:t>
      </w:r>
      <w:r>
        <w:rPr>
          <w:rFonts w:cs="Arial"/>
          <w:lang w:val="en-AU"/>
        </w:rPr>
        <w:t>s</w:t>
      </w:r>
      <w:r w:rsidRPr="008546A5">
        <w:rPr>
          <w:rFonts w:cs="Arial"/>
          <w:lang w:val="en-AU"/>
        </w:rPr>
        <w:t xml:space="preserve"> women, prevent</w:t>
      </w:r>
      <w:r>
        <w:rPr>
          <w:rFonts w:cs="Arial"/>
          <w:lang w:val="en-AU"/>
        </w:rPr>
        <w:t>ing</w:t>
      </w:r>
      <w:r w:rsidRPr="008546A5">
        <w:rPr>
          <w:rFonts w:cs="Arial"/>
          <w:lang w:val="en-AU"/>
        </w:rPr>
        <w:t xml:space="preserve"> them from seeking services in case</w:t>
      </w:r>
      <w:r>
        <w:rPr>
          <w:rFonts w:cs="Arial"/>
          <w:lang w:val="en-AU"/>
        </w:rPr>
        <w:t xml:space="preserve"> </w:t>
      </w:r>
      <w:r w:rsidRPr="008546A5">
        <w:rPr>
          <w:rFonts w:cs="Arial"/>
          <w:lang w:val="en-AU"/>
        </w:rPr>
        <w:t>of domestic violence, and restrict</w:t>
      </w:r>
      <w:r>
        <w:rPr>
          <w:rFonts w:cs="Arial"/>
          <w:lang w:val="en-AU"/>
        </w:rPr>
        <w:t>ing</w:t>
      </w:r>
      <w:r w:rsidRPr="008546A5">
        <w:rPr>
          <w:rFonts w:cs="Arial"/>
          <w:lang w:val="en-AU"/>
        </w:rPr>
        <w:t xml:space="preserve"> their participation in community decision making.</w:t>
      </w:r>
      <w:r>
        <w:rPr>
          <w:rFonts w:cs="Arial"/>
          <w:lang w:val="en-AU"/>
        </w:rPr>
        <w:t xml:space="preserve"> Literacy rates </w:t>
      </w:r>
      <w:r w:rsidRPr="008546A5">
        <w:rPr>
          <w:rFonts w:cs="Arial"/>
          <w:lang w:val="en-AU"/>
        </w:rPr>
        <w:t>across age groups indicate</w:t>
      </w:r>
      <w:r>
        <w:rPr>
          <w:rFonts w:cs="Arial"/>
          <w:lang w:val="en-AU"/>
        </w:rPr>
        <w:t xml:space="preserve"> a narrowing of the gender gap, but 25% of rural females still have no schooling compared with 10% urban females.</w:t>
      </w:r>
      <w:r>
        <w:rPr>
          <w:rStyle w:val="EndnoteReference"/>
          <w:rFonts w:cs="Arial"/>
          <w:lang w:val="en-AU"/>
        </w:rPr>
        <w:endnoteReference w:id="21"/>
      </w:r>
      <w:r>
        <w:rPr>
          <w:rFonts w:cs="Arial"/>
          <w:lang w:val="en-AU"/>
        </w:rPr>
        <w:t xml:space="preserve"> Whilst SI has achieved gender parity in primary school enrolments, inequalities prevail in secondary schooling (</w:t>
      </w:r>
      <w:r w:rsidRPr="004C5A37">
        <w:rPr>
          <w:rFonts w:cs="Arial"/>
          <w:lang w:val="en-AU"/>
        </w:rPr>
        <w:t xml:space="preserve">female </w:t>
      </w:r>
      <w:r>
        <w:rPr>
          <w:rFonts w:cs="Arial"/>
          <w:lang w:val="en-AU"/>
        </w:rPr>
        <w:t>20</w:t>
      </w:r>
      <w:r w:rsidRPr="004C5A37">
        <w:rPr>
          <w:rFonts w:cs="Arial"/>
          <w:lang w:val="en-AU"/>
        </w:rPr>
        <w:t>%</w:t>
      </w:r>
      <w:r>
        <w:rPr>
          <w:rFonts w:cs="Arial"/>
          <w:lang w:val="en-AU"/>
        </w:rPr>
        <w:t>, male 29%)</w:t>
      </w:r>
      <w:r>
        <w:rPr>
          <w:rStyle w:val="EndnoteReference"/>
          <w:rFonts w:cs="Arial"/>
          <w:lang w:val="en-AU"/>
        </w:rPr>
        <w:endnoteReference w:id="22"/>
      </w:r>
      <w:r>
        <w:rPr>
          <w:rFonts w:cs="Arial"/>
          <w:lang w:val="en-AU"/>
        </w:rPr>
        <w:t xml:space="preserve"> because of economic viability of families, distances to schools and lack of safe transport and inadequate schooling infrastructure.</w:t>
      </w:r>
    </w:p>
    <w:p w14:paraId="3429E800" w14:textId="77777777" w:rsidR="00ED0F9D" w:rsidRPr="008569E4" w:rsidRDefault="00ED0F9D" w:rsidP="00ED0F9D">
      <w:pPr>
        <w:pStyle w:val="ListParagraph"/>
        <w:ind w:left="0"/>
        <w:jc w:val="both"/>
        <w:rPr>
          <w:rFonts w:cs="Arial"/>
          <w:sz w:val="12"/>
          <w:szCs w:val="12"/>
          <w:lang w:val="en-AU"/>
        </w:rPr>
      </w:pPr>
    </w:p>
    <w:p w14:paraId="46B61759" w14:textId="77777777" w:rsidR="00ED0F9D" w:rsidRPr="00FF3763" w:rsidRDefault="00ED0F9D" w:rsidP="00ED0F9D">
      <w:pPr>
        <w:pStyle w:val="ListParagraph"/>
        <w:ind w:left="0"/>
        <w:jc w:val="both"/>
        <w:rPr>
          <w:rFonts w:cs="Arial"/>
          <w:lang w:val="en-AU"/>
        </w:rPr>
      </w:pPr>
      <w:r>
        <w:rPr>
          <w:rFonts w:cs="Arial"/>
          <w:lang w:val="en-AU"/>
        </w:rPr>
        <w:t xml:space="preserve">Men </w:t>
      </w:r>
      <w:r w:rsidRPr="00242FF3">
        <w:rPr>
          <w:rFonts w:cs="Arial"/>
          <w:lang w:val="en-AU"/>
        </w:rPr>
        <w:t>are much more likely than women to hold a wage job, particularly in the private</w:t>
      </w:r>
      <w:r>
        <w:rPr>
          <w:rFonts w:cs="Arial"/>
          <w:lang w:val="en-AU"/>
        </w:rPr>
        <w:t xml:space="preserve"> sector. </w:t>
      </w:r>
      <w:r w:rsidRPr="00242FF3">
        <w:rPr>
          <w:rFonts w:cs="Arial"/>
          <w:lang w:val="en-AU"/>
        </w:rPr>
        <w:t>75% of women and 54% of men are in vulnerable employment</w:t>
      </w:r>
      <w:r>
        <w:rPr>
          <w:rFonts w:cs="Arial"/>
          <w:lang w:val="en-AU"/>
        </w:rPr>
        <w:t xml:space="preserve"> such as subsistence work, self-employment, and unpaid family work</w:t>
      </w:r>
      <w:r w:rsidRPr="00242FF3">
        <w:rPr>
          <w:rFonts w:cs="Arial"/>
          <w:lang w:val="en-AU"/>
        </w:rPr>
        <w:t>.</w:t>
      </w:r>
      <w:r>
        <w:rPr>
          <w:rStyle w:val="EndnoteReference"/>
          <w:rFonts w:cs="Arial"/>
          <w:lang w:val="en-AU"/>
        </w:rPr>
        <w:endnoteReference w:id="23"/>
      </w:r>
      <w:r w:rsidRPr="00242FF3">
        <w:rPr>
          <w:rFonts w:cs="Arial"/>
          <w:lang w:val="en-AU"/>
        </w:rPr>
        <w:t xml:space="preserve"> Vulnerable employment is</w:t>
      </w:r>
      <w:r>
        <w:rPr>
          <w:rFonts w:cs="Arial"/>
          <w:lang w:val="en-AU"/>
        </w:rPr>
        <w:t xml:space="preserve"> </w:t>
      </w:r>
      <w:r w:rsidRPr="00242FF3">
        <w:rPr>
          <w:rFonts w:cs="Arial"/>
          <w:lang w:val="en-AU"/>
        </w:rPr>
        <w:t xml:space="preserve">significantly less in urban areas, but </w:t>
      </w:r>
      <w:r>
        <w:rPr>
          <w:rFonts w:cs="Arial"/>
          <w:lang w:val="en-AU"/>
        </w:rPr>
        <w:t>still has a gender gap</w:t>
      </w:r>
      <w:r w:rsidRPr="00242FF3">
        <w:rPr>
          <w:rFonts w:cs="Arial"/>
          <w:lang w:val="en-AU"/>
        </w:rPr>
        <w:t xml:space="preserve"> (41% of</w:t>
      </w:r>
      <w:r>
        <w:rPr>
          <w:rFonts w:cs="Arial"/>
          <w:lang w:val="en-AU"/>
        </w:rPr>
        <w:t xml:space="preserve"> urban women, </w:t>
      </w:r>
      <w:r w:rsidRPr="00242FF3">
        <w:rPr>
          <w:rFonts w:cs="Arial"/>
          <w:lang w:val="en-AU"/>
        </w:rPr>
        <w:t>21% of urban men)</w:t>
      </w:r>
      <w:r>
        <w:rPr>
          <w:rStyle w:val="EndnoteReference"/>
          <w:rFonts w:cs="Arial"/>
          <w:lang w:val="en-AU"/>
        </w:rPr>
        <w:endnoteReference w:id="24"/>
      </w:r>
      <w:r w:rsidRPr="00242FF3">
        <w:rPr>
          <w:rFonts w:cs="Arial"/>
          <w:lang w:val="en-AU"/>
        </w:rPr>
        <w:t>.</w:t>
      </w:r>
      <w:r>
        <w:rPr>
          <w:rFonts w:cs="Arial"/>
          <w:lang w:val="en-AU"/>
        </w:rPr>
        <w:t xml:space="preserve"> The unpaid nature of women’s work is particularly striking in rural areas: 81% of women compared to 58% of men</w:t>
      </w:r>
      <w:r>
        <w:rPr>
          <w:rStyle w:val="EndnoteReference"/>
          <w:rFonts w:cs="Arial"/>
          <w:lang w:val="en-AU"/>
        </w:rPr>
        <w:endnoteReference w:id="25"/>
      </w:r>
      <w:r>
        <w:rPr>
          <w:rFonts w:cs="Arial"/>
          <w:lang w:val="en-AU"/>
        </w:rPr>
        <w:t xml:space="preserve">. Women produce the majority of subsistence food </w:t>
      </w:r>
      <w:r>
        <w:t>(76.2% compared to 58.1% of men)</w:t>
      </w:r>
      <w:r>
        <w:rPr>
          <w:rStyle w:val="EndnoteReference"/>
        </w:rPr>
        <w:endnoteReference w:id="26"/>
      </w:r>
      <w:r>
        <w:t>, while men are more involved in the production, sale and marketing of more lucrative cash crops.</w:t>
      </w:r>
      <w:r w:rsidRPr="001B572D">
        <w:rPr>
          <w:rFonts w:cs="Arial"/>
          <w:vertAlign w:val="superscript"/>
        </w:rPr>
        <w:endnoteReference w:id="27"/>
      </w:r>
      <w:r>
        <w:rPr>
          <w:rFonts w:cs="Arial"/>
          <w:lang w:val="en-AU"/>
        </w:rPr>
        <w:t xml:space="preserve"> </w:t>
      </w:r>
      <w:r w:rsidRPr="00C0520B">
        <w:rPr>
          <w:rFonts w:cs="Arial"/>
          <w:lang w:val="en-AU"/>
        </w:rPr>
        <w:t xml:space="preserve">Women are highly </w:t>
      </w:r>
      <w:proofErr w:type="gramStart"/>
      <w:r w:rsidRPr="00C0520B">
        <w:rPr>
          <w:rFonts w:cs="Arial"/>
          <w:lang w:val="en-AU"/>
        </w:rPr>
        <w:lastRenderedPageBreak/>
        <w:t>active</w:t>
      </w:r>
      <w:proofErr w:type="gramEnd"/>
      <w:r w:rsidRPr="00C0520B">
        <w:rPr>
          <w:rFonts w:cs="Arial"/>
          <w:lang w:val="en-AU"/>
        </w:rPr>
        <w:t xml:space="preserve"> in agriculture and small-scale income generation, but their economic participation and control of productive resources are constrained by lack of education, sociocultural discrimination, and lack of access to key resources such as transport</w:t>
      </w:r>
      <w:r>
        <w:rPr>
          <w:rFonts w:cs="Arial"/>
          <w:lang w:val="en-AU"/>
        </w:rPr>
        <w:t xml:space="preserve"> and </w:t>
      </w:r>
      <w:r w:rsidRPr="00C0520B">
        <w:rPr>
          <w:rFonts w:cs="Arial"/>
          <w:lang w:val="en-AU"/>
        </w:rPr>
        <w:t>market infrastructure</w:t>
      </w:r>
      <w:r>
        <w:rPr>
          <w:rFonts w:cs="Arial"/>
          <w:lang w:val="en-AU"/>
        </w:rPr>
        <w:t xml:space="preserve"> and distance from government offices.</w:t>
      </w:r>
      <w:r>
        <w:rPr>
          <w:rStyle w:val="EndnoteReference"/>
          <w:rFonts w:cs="Arial"/>
          <w:lang w:val="en-AU"/>
        </w:rPr>
        <w:endnoteReference w:id="28"/>
      </w:r>
      <w:r w:rsidRPr="004E6E4B">
        <w:rPr>
          <w:rFonts w:cs="Arial"/>
          <w:lang w:val="en-AU"/>
        </w:rPr>
        <w:t xml:space="preserve"> </w:t>
      </w:r>
      <w:r>
        <w:rPr>
          <w:rFonts w:cs="Arial"/>
          <w:lang w:val="en-AU"/>
        </w:rPr>
        <w:t>Youth unemployment is reported at 46%.</w:t>
      </w:r>
      <w:r>
        <w:rPr>
          <w:rStyle w:val="EndnoteReference"/>
          <w:rFonts w:cs="Arial"/>
          <w:lang w:val="en-AU"/>
        </w:rPr>
        <w:endnoteReference w:id="29"/>
      </w:r>
    </w:p>
    <w:p w14:paraId="52AA98E2" w14:textId="77777777" w:rsidR="00ED0F9D" w:rsidRPr="008569E4" w:rsidRDefault="00ED0F9D" w:rsidP="00ED0F9D">
      <w:pPr>
        <w:pStyle w:val="ListParagraph"/>
        <w:ind w:left="0"/>
        <w:jc w:val="both"/>
        <w:rPr>
          <w:rFonts w:cs="Arial"/>
          <w:b/>
          <w:sz w:val="12"/>
          <w:szCs w:val="12"/>
          <w:lang w:val="en-AU"/>
        </w:rPr>
      </w:pPr>
    </w:p>
    <w:p w14:paraId="75B7F0FD" w14:textId="77777777" w:rsidR="00ED0F9D" w:rsidRDefault="00ED0F9D" w:rsidP="00ED0F9D">
      <w:pPr>
        <w:pStyle w:val="ListParagraph"/>
        <w:ind w:left="0"/>
        <w:jc w:val="both"/>
      </w:pPr>
      <w:r w:rsidRPr="00C76671">
        <w:rPr>
          <w:rFonts w:cs="Arial"/>
          <w:b/>
          <w:lang w:val="en-AU"/>
        </w:rPr>
        <w:t xml:space="preserve">Participation and </w:t>
      </w:r>
      <w:r w:rsidRPr="007C71F1">
        <w:rPr>
          <w:rFonts w:cs="Arial"/>
          <w:b/>
          <w:lang w:val="en-AU"/>
        </w:rPr>
        <w:t>Policy:</w:t>
      </w:r>
      <w:r w:rsidRPr="00B05A4F">
        <w:rPr>
          <w:rFonts w:cs="Times"/>
        </w:rPr>
        <w:t xml:space="preserve"> </w:t>
      </w:r>
      <w:r>
        <w:rPr>
          <w:rFonts w:cs="Times"/>
        </w:rPr>
        <w:t xml:space="preserve"> </w:t>
      </w:r>
      <w:r w:rsidRPr="00490520">
        <w:rPr>
          <w:rFonts w:cs="Arial"/>
          <w:lang w:val="en-AU"/>
        </w:rPr>
        <w:t>Despite</w:t>
      </w:r>
      <w:r>
        <w:rPr>
          <w:rFonts w:cs="Arial"/>
          <w:lang w:val="en-AU"/>
        </w:rPr>
        <w:t xml:space="preserve"> human rights being articulated in the SI Constitution and the ratification of human rights treaties, legal and political structures perpetuate the unequal representation of women. Major obstruction to the realisation of full participation of women in judicial and parliamentary arenas is their lack of strategic resources including cash, social status and material wealth, as physical assets considered to be of high value by monetary and cultural definition. Presently, t</w:t>
      </w:r>
      <w:r>
        <w:rPr>
          <w:rFonts w:cs="Arial"/>
        </w:rPr>
        <w:t>here are no quotas for women’s participation in national parliament though women’s groups have fought for this.</w:t>
      </w:r>
      <w:r>
        <w:rPr>
          <w:rStyle w:val="EndnoteReference"/>
          <w:rFonts w:cs="Arial"/>
        </w:rPr>
        <w:endnoteReference w:id="30"/>
      </w:r>
      <w:r w:rsidRPr="00B05A4F">
        <w:rPr>
          <w:rFonts w:cs="Arial"/>
        </w:rPr>
        <w:t xml:space="preserve"> </w:t>
      </w:r>
      <w:r>
        <w:rPr>
          <w:rFonts w:cs="Arial"/>
        </w:rPr>
        <w:t>Since Independence (1978), SI has only had 3 female Members of Parliament of the 50 available seats</w:t>
      </w:r>
      <w:r>
        <w:rPr>
          <w:rStyle w:val="EndnoteReference"/>
          <w:rFonts w:cs="Arial"/>
        </w:rPr>
        <w:endnoteReference w:id="31"/>
      </w:r>
      <w:r>
        <w:rPr>
          <w:rFonts w:cs="Arial"/>
        </w:rPr>
        <w:t>. Women make up approximately 12.8% of positions to Honiara City Council and the 9 provincial councils</w:t>
      </w:r>
      <w:r>
        <w:rPr>
          <w:rStyle w:val="EndnoteReference"/>
          <w:rFonts w:cs="Arial"/>
        </w:rPr>
        <w:endnoteReference w:id="32"/>
      </w:r>
      <w:r>
        <w:rPr>
          <w:rFonts w:cs="Arial"/>
        </w:rPr>
        <w:t xml:space="preserve">. </w:t>
      </w:r>
      <w:r w:rsidRPr="00091889">
        <w:rPr>
          <w:rFonts w:cs="Arial"/>
          <w:lang w:val="en-AU"/>
        </w:rPr>
        <w:t xml:space="preserve">The </w:t>
      </w:r>
      <w:r>
        <w:rPr>
          <w:rFonts w:cs="Arial"/>
          <w:lang w:val="en-AU"/>
        </w:rPr>
        <w:t>Constitution recognises c</w:t>
      </w:r>
      <w:r w:rsidRPr="00091889">
        <w:rPr>
          <w:rFonts w:cs="Arial"/>
          <w:lang w:val="en-AU"/>
        </w:rPr>
        <w:t>usto</w:t>
      </w:r>
      <w:r>
        <w:rPr>
          <w:rFonts w:cs="Arial"/>
          <w:lang w:val="en-AU"/>
        </w:rPr>
        <w:t>mary as well as modern law.</w:t>
      </w:r>
      <w:r>
        <w:rPr>
          <w:rFonts w:cs="Arial"/>
          <w:color w:val="FF0000"/>
          <w:lang w:val="en-AU"/>
        </w:rPr>
        <w:t xml:space="preserve">  </w:t>
      </w:r>
      <w:r w:rsidRPr="00372FC8">
        <w:rPr>
          <w:rFonts w:cs="Arial"/>
          <w:lang w:val="en-AU"/>
        </w:rPr>
        <w:t>Informal</w:t>
      </w:r>
      <w:r>
        <w:rPr>
          <w:rFonts w:cs="Arial"/>
          <w:color w:val="FF0000"/>
          <w:lang w:val="en-AU"/>
        </w:rPr>
        <w:t xml:space="preserve"> </w:t>
      </w:r>
      <w:r w:rsidRPr="00490520">
        <w:rPr>
          <w:rFonts w:cs="Arial"/>
          <w:lang w:val="en-AU"/>
        </w:rPr>
        <w:t>village courts and customary law</w:t>
      </w:r>
      <w:r>
        <w:rPr>
          <w:rFonts w:cs="Arial"/>
          <w:lang w:val="en-AU"/>
        </w:rPr>
        <w:t xml:space="preserve"> exist in parallel with the formal system and form a primary source of justice for rural populations. </w:t>
      </w:r>
      <w:r w:rsidRPr="00C477B5">
        <w:t>Customary norms may be invoked in relation to issues such as men’s and women’s</w:t>
      </w:r>
      <w:r>
        <w:t xml:space="preserve"> </w:t>
      </w:r>
      <w:r w:rsidRPr="00C477B5">
        <w:t>control over family decisions, land rights, marriage and bride-price, division of labor, and the custody of children</w:t>
      </w:r>
      <w:r>
        <w:t xml:space="preserve">. </w:t>
      </w:r>
      <w:r w:rsidRPr="00C477B5">
        <w:t>Custom is often used to justify the notion that women are inferior to men, and that men’s oppressive behavior and</w:t>
      </w:r>
      <w:r>
        <w:t xml:space="preserve"> </w:t>
      </w:r>
      <w:r w:rsidRPr="00C477B5">
        <w:t>violence is acceptable</w:t>
      </w:r>
      <w:r>
        <w:t>.</w:t>
      </w:r>
      <w:r>
        <w:rPr>
          <w:rStyle w:val="EndnoteReference"/>
        </w:rPr>
        <w:endnoteReference w:id="33"/>
      </w:r>
    </w:p>
    <w:p w14:paraId="2CA5006A" w14:textId="77777777" w:rsidR="00ED0F9D" w:rsidRPr="00AD208B" w:rsidRDefault="00ED0F9D" w:rsidP="00ED0F9D">
      <w:pPr>
        <w:pStyle w:val="ListParagraph"/>
        <w:ind w:left="0"/>
        <w:jc w:val="both"/>
        <w:rPr>
          <w:rFonts w:cs="Arial"/>
          <w:sz w:val="12"/>
          <w:szCs w:val="12"/>
        </w:rPr>
      </w:pPr>
    </w:p>
    <w:p w14:paraId="510DA891" w14:textId="13577969" w:rsidR="00ED0F9D" w:rsidRDefault="00ED0F9D" w:rsidP="00ED0F9D">
      <w:pPr>
        <w:jc w:val="both"/>
        <w:rPr>
          <w:rFonts w:cs="Times"/>
        </w:rPr>
      </w:pPr>
      <w:r w:rsidRPr="006F3137">
        <w:rPr>
          <w:b/>
          <w:lang w:val="en-AU"/>
        </w:rPr>
        <w:t xml:space="preserve">Gender Based Violence and Protection: </w:t>
      </w:r>
      <w:r>
        <w:t xml:space="preserve">Reports show that 90% of women who reported violence experienced </w:t>
      </w:r>
      <w:proofErr w:type="gramStart"/>
      <w:r>
        <w:t>it</w:t>
      </w:r>
      <w:proofErr w:type="gramEnd"/>
      <w:r>
        <w:t xml:space="preserve"> from an intimate partner, while 64% of ever partnered women </w:t>
      </w:r>
      <w:r w:rsidRPr="006427B5">
        <w:t>aged 15-49 years</w:t>
      </w:r>
      <w:r>
        <w:t xml:space="preserve"> reported</w:t>
      </w:r>
      <w:r w:rsidRPr="00A008A1">
        <w:t xml:space="preserve"> physical, sexual or emotional violence, by their husband or partner in their lifetime</w:t>
      </w:r>
      <w:r>
        <w:rPr>
          <w:rStyle w:val="EndnoteReference"/>
        </w:rPr>
        <w:endnoteReference w:id="34"/>
      </w:r>
      <w:r>
        <w:t>.</w:t>
      </w:r>
      <w:r w:rsidRPr="00161B42">
        <w:rPr>
          <w:rFonts w:cs="Arial"/>
          <w:color w:val="FF0000"/>
          <w:sz w:val="21"/>
          <w:szCs w:val="21"/>
        </w:rPr>
        <w:t xml:space="preserve"> </w:t>
      </w:r>
      <w:r w:rsidRPr="006427B5">
        <w:rPr>
          <w:rFonts w:cs="Arial"/>
          <w:szCs w:val="20"/>
        </w:rPr>
        <w:t>Sexual partner violence was experienced by 55% of women and physical partner violence was experienced by 45% of women.</w:t>
      </w:r>
      <w:r>
        <w:rPr>
          <w:rStyle w:val="EndnoteReference"/>
          <w:rFonts w:cs="Arial"/>
          <w:szCs w:val="20"/>
        </w:rPr>
        <w:endnoteReference w:id="35"/>
      </w:r>
      <w:r w:rsidRPr="006427B5">
        <w:rPr>
          <w:rFonts w:cs="Arial"/>
          <w:szCs w:val="20"/>
        </w:rPr>
        <w:t xml:space="preserve"> </w:t>
      </w:r>
      <w:r w:rsidRPr="00845ED2">
        <w:rPr>
          <w:rFonts w:cs="Arial"/>
          <w:szCs w:val="20"/>
        </w:rPr>
        <w:t>One third of women reported being sexually abused before the age of 15</w:t>
      </w:r>
      <w:r>
        <w:rPr>
          <w:rStyle w:val="EndnoteReference"/>
          <w:rFonts w:cs="Arial"/>
          <w:szCs w:val="20"/>
        </w:rPr>
        <w:endnoteReference w:id="36"/>
      </w:r>
      <w:r>
        <w:rPr>
          <w:rFonts w:cs="Arial"/>
          <w:szCs w:val="20"/>
        </w:rPr>
        <w:t>. Rural survivors are more disadvantaged than urban survivors because they have less access to trained care providers and rural police are less likely to be trained to handle domestic disputes and there are few formal justice options which are largely urban based. 73 % of men and women believe violence against women is justifiable, especially for infidelity and disobedience</w:t>
      </w:r>
      <w:r w:rsidRPr="00794DA9">
        <w:rPr>
          <w:szCs w:val="20"/>
        </w:rPr>
        <w:t>.</w:t>
      </w:r>
      <w:r>
        <w:rPr>
          <w:rStyle w:val="EndnoteReference"/>
          <w:szCs w:val="20"/>
        </w:rPr>
        <w:endnoteReference w:id="37"/>
      </w:r>
      <w:r w:rsidRPr="00794DA9">
        <w:t xml:space="preserve"> </w:t>
      </w:r>
      <w:r>
        <w:t>The Government of SI developed a 10 year national action plan to eliminate violence against women</w:t>
      </w:r>
      <w:r>
        <w:rPr>
          <w:rStyle w:val="EndnoteReference"/>
        </w:rPr>
        <w:endnoteReference w:id="38"/>
      </w:r>
      <w:r>
        <w:t>, but there are gaps in legislation with no laws to criminalize domestic violence, sexual harassment and marital rape.</w:t>
      </w:r>
      <w:r>
        <w:rPr>
          <w:rStyle w:val="EndnoteReference"/>
          <w:rFonts w:cs="Times"/>
        </w:rPr>
        <w:endnoteReference w:id="39"/>
      </w:r>
      <w:r w:rsidRPr="005E62F4">
        <w:rPr>
          <w:rFonts w:cs="Times"/>
        </w:rPr>
        <w:t>.</w:t>
      </w:r>
      <w:r>
        <w:rPr>
          <w:rFonts w:cs="Times"/>
        </w:rPr>
        <w:t xml:space="preserve"> Inadequate representation of women at all levels of decision making is seen as a major obstacle to the collective action to tackle the prevalence and impact of violence within families and communities.</w:t>
      </w:r>
      <w:r w:rsidR="001D59BD">
        <w:rPr>
          <w:rFonts w:cs="Times"/>
        </w:rPr>
        <w:t xml:space="preserve"> There is a high level of stigma and prejudice against people in the basis of their (actual or perceived) sexual orientation with laws criminalizing consensual same-sex sexual activity. Men and women report discriminatory violence based on their sexual orientation and discrimination in employment and education.</w:t>
      </w:r>
      <w:r w:rsidR="001D59BD">
        <w:rPr>
          <w:rStyle w:val="EndnoteReference"/>
          <w:rFonts w:cs="Times"/>
        </w:rPr>
        <w:endnoteReference w:id="40"/>
      </w:r>
    </w:p>
    <w:p w14:paraId="14089626" w14:textId="77777777" w:rsidR="00ED0F9D" w:rsidRPr="00AD208B" w:rsidRDefault="00ED0F9D" w:rsidP="00ED0F9D">
      <w:pPr>
        <w:jc w:val="both"/>
        <w:rPr>
          <w:sz w:val="12"/>
          <w:szCs w:val="12"/>
        </w:rPr>
      </w:pPr>
    </w:p>
    <w:p w14:paraId="2874F09F" w14:textId="77777777" w:rsidR="00ED0F9D" w:rsidRDefault="00ED0F9D" w:rsidP="00ED0F9D">
      <w:pPr>
        <w:jc w:val="both"/>
      </w:pPr>
      <w:r w:rsidRPr="00AD208B">
        <w:rPr>
          <w:b/>
          <w:lang w:val="en-AU"/>
        </w:rPr>
        <w:t>Gender in Emergencies</w:t>
      </w:r>
      <w:r w:rsidRPr="00AD208B">
        <w:rPr>
          <w:lang w:val="en-AU"/>
        </w:rPr>
        <w:t xml:space="preserve">: SI </w:t>
      </w:r>
      <w:r>
        <w:rPr>
          <w:lang w:val="en-AU"/>
        </w:rPr>
        <w:t xml:space="preserve">is </w:t>
      </w:r>
      <w:r w:rsidRPr="00AD208B">
        <w:rPr>
          <w:lang w:val="en-AU"/>
        </w:rPr>
        <w:t xml:space="preserve">vulnerable </w:t>
      </w:r>
      <w:r>
        <w:rPr>
          <w:lang w:val="en-AU"/>
        </w:rPr>
        <w:t>to a variety of natural disasters including cyclones, floods, tsunamis and geological activity with frequent earthquakes, tremors and volcanic activity</w:t>
      </w:r>
      <w:r>
        <w:rPr>
          <w:rStyle w:val="EndnoteReference"/>
          <w:lang w:val="en-AU"/>
        </w:rPr>
        <w:endnoteReference w:id="41"/>
      </w:r>
      <w:r>
        <w:rPr>
          <w:lang w:val="en-AU"/>
        </w:rPr>
        <w:t xml:space="preserve">. </w:t>
      </w:r>
      <w:r w:rsidRPr="00D50FDB">
        <w:rPr>
          <w:lang w:val="en-AU"/>
        </w:rPr>
        <w:t>During emergencies, time becomes a precious resource and te</w:t>
      </w:r>
      <w:bookmarkStart w:id="1" w:name="_GoBack"/>
      <w:bookmarkEnd w:id="1"/>
      <w:r w:rsidRPr="00D50FDB">
        <w:rPr>
          <w:lang w:val="en-AU"/>
        </w:rPr>
        <w:t>nsions often arise from women having to support family needs almost single-handedly</w:t>
      </w:r>
      <w:r>
        <w:rPr>
          <w:lang w:val="en-AU"/>
        </w:rPr>
        <w:t xml:space="preserve"> </w:t>
      </w:r>
      <w:r w:rsidRPr="00D50FDB">
        <w:rPr>
          <w:lang w:val="en-AU"/>
        </w:rPr>
        <w:t>while men concentrate on activities such as house building and wider community work.</w:t>
      </w:r>
      <w:r>
        <w:rPr>
          <w:lang w:val="en-AU"/>
        </w:rPr>
        <w:t xml:space="preserve"> </w:t>
      </w:r>
      <w:r w:rsidRPr="00D50FDB">
        <w:t>Women and girls in areas affected by disasters usually face greater challenges related to WASH, protection, shelter and food security and livelihood. Uncertain financial security often follows in after math of emergencies.</w:t>
      </w:r>
    </w:p>
    <w:p w14:paraId="36BADC60" w14:textId="77777777" w:rsidR="00C27A7F" w:rsidRPr="00CC0CBF" w:rsidRDefault="00C27A7F" w:rsidP="0032556F">
      <w:pPr>
        <w:rPr>
          <w:rFonts w:cs="Arial"/>
        </w:rPr>
      </w:pPr>
    </w:p>
    <w:sectPr w:rsidR="00C27A7F" w:rsidRPr="00CC0CBF" w:rsidSect="00C27A7F">
      <w:headerReference w:type="default" r:id="rId8"/>
      <w:footerReference w:type="default" r:id="rId9"/>
      <w:headerReference w:type="first" r:id="rId10"/>
      <w:footerReference w:type="first" r:id="rId11"/>
      <w:endnotePr>
        <w:numFmt w:val="decimal"/>
      </w:endnotePr>
      <w:type w:val="continuous"/>
      <w:pgSz w:w="11906" w:h="16838"/>
      <w:pgMar w:top="142" w:right="964" w:bottom="794" w:left="964" w:header="0" w:footer="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2DDC4" w14:textId="77777777" w:rsidR="005C6ACF" w:rsidRDefault="005C6ACF" w:rsidP="008C2949">
      <w:r>
        <w:separator/>
      </w:r>
    </w:p>
  </w:endnote>
  <w:endnote w:type="continuationSeparator" w:id="0">
    <w:p w14:paraId="5ED71852" w14:textId="77777777" w:rsidR="005C6ACF" w:rsidRDefault="005C6ACF" w:rsidP="008C2949">
      <w:r>
        <w:continuationSeparator/>
      </w:r>
    </w:p>
  </w:endnote>
  <w:endnote w:id="1">
    <w:p w14:paraId="5E2766FC" w14:textId="77777777" w:rsidR="00ED0F9D" w:rsidRPr="004978B7" w:rsidRDefault="00ED0F9D" w:rsidP="00ED0F9D">
      <w:pPr>
        <w:contextualSpacing/>
        <w:rPr>
          <w:rFonts w:cs="Arial"/>
          <w:color w:val="FF0000"/>
          <w:sz w:val="12"/>
          <w:szCs w:val="12"/>
          <w:lang w:val="en-AU"/>
        </w:rPr>
      </w:pPr>
      <w:r w:rsidRPr="004978B7">
        <w:rPr>
          <w:rStyle w:val="EndnoteReference"/>
          <w:rFonts w:cs="Arial"/>
          <w:sz w:val="12"/>
          <w:szCs w:val="12"/>
        </w:rPr>
        <w:endnoteRef/>
      </w:r>
      <w:r w:rsidRPr="004978B7">
        <w:rPr>
          <w:rFonts w:cs="Arial"/>
          <w:sz w:val="12"/>
          <w:szCs w:val="12"/>
        </w:rPr>
        <w:t xml:space="preserve"> 2009 Population and Housing Census </w:t>
      </w:r>
      <w:hyperlink r:id="rId1" w:history="1">
        <w:r w:rsidRPr="004978B7">
          <w:rPr>
            <w:rStyle w:val="Hyperlink"/>
            <w:sz w:val="12"/>
            <w:szCs w:val="12"/>
          </w:rPr>
          <w:t>http://www.mof.gov.sb/Libraries/Statistics/2011_06_-_Report_on_2009_Population_Housing_Census.sflb.ashx</w:t>
        </w:r>
      </w:hyperlink>
    </w:p>
  </w:endnote>
  <w:endnote w:id="2">
    <w:p w14:paraId="28A6AC36" w14:textId="77777777" w:rsidR="00ED0F9D" w:rsidRPr="004978B7" w:rsidRDefault="00ED0F9D" w:rsidP="00ED0F9D">
      <w:pPr>
        <w:pStyle w:val="EndnoteText"/>
        <w:contextualSpacing/>
        <w:rPr>
          <w:sz w:val="12"/>
          <w:szCs w:val="12"/>
          <w:lang w:val="en-AU"/>
        </w:rPr>
      </w:pPr>
      <w:r w:rsidRPr="004978B7">
        <w:rPr>
          <w:rStyle w:val="EndnoteReference"/>
          <w:sz w:val="12"/>
          <w:szCs w:val="12"/>
        </w:rPr>
        <w:endnoteRef/>
      </w:r>
      <w:r w:rsidRPr="004978B7">
        <w:rPr>
          <w:sz w:val="12"/>
          <w:szCs w:val="12"/>
        </w:rPr>
        <w:t xml:space="preserve"> </w:t>
      </w:r>
      <w:r w:rsidRPr="004978B7">
        <w:rPr>
          <w:rFonts w:cs="Arial"/>
          <w:sz w:val="12"/>
          <w:szCs w:val="12"/>
        </w:rPr>
        <w:t xml:space="preserve">2009 Population and Housing Census </w:t>
      </w:r>
      <w:hyperlink r:id="rId2" w:history="1">
        <w:r w:rsidRPr="004978B7">
          <w:rPr>
            <w:rStyle w:val="Hyperlink"/>
            <w:sz w:val="12"/>
            <w:szCs w:val="12"/>
          </w:rPr>
          <w:t>http://www.mof.gov.sb/Libraries/Statistics/2011_06_-_Report_on_2009_Population_Housing_Census.sflb.ashx</w:t>
        </w:r>
      </w:hyperlink>
    </w:p>
  </w:endnote>
  <w:endnote w:id="3">
    <w:p w14:paraId="1D296537" w14:textId="77777777" w:rsidR="00ED0F9D" w:rsidRPr="004978B7" w:rsidRDefault="00ED0F9D" w:rsidP="00ED0F9D">
      <w:pPr>
        <w:rPr>
          <w:sz w:val="12"/>
          <w:szCs w:val="12"/>
          <w:lang w:val="en-AU"/>
        </w:rPr>
      </w:pPr>
      <w:r w:rsidRPr="004978B7">
        <w:rPr>
          <w:rStyle w:val="EndnoteReference"/>
          <w:sz w:val="12"/>
          <w:szCs w:val="12"/>
        </w:rPr>
        <w:endnoteRef/>
      </w:r>
      <w:r w:rsidRPr="004978B7">
        <w:rPr>
          <w:sz w:val="12"/>
          <w:szCs w:val="12"/>
        </w:rPr>
        <w:t xml:space="preserve"> </w:t>
      </w:r>
      <w:r w:rsidRPr="004978B7">
        <w:rPr>
          <w:sz w:val="12"/>
          <w:szCs w:val="12"/>
          <w:lang w:val="en-AU"/>
        </w:rPr>
        <w:t xml:space="preserve">2015 SI Demographic and Health Survey </w:t>
      </w:r>
      <w:hyperlink r:id="rId3" w:history="1">
        <w:r w:rsidRPr="004978B7">
          <w:rPr>
            <w:rStyle w:val="Hyperlink"/>
            <w:sz w:val="12"/>
            <w:szCs w:val="12"/>
          </w:rPr>
          <w:t>http://www.statistics.gov.sb/images/SolomonFiles/Survey_Statistics/DHS_2015/Final-Report_SI-Demographic-and-Health-Survey-2015.pdf</w:t>
        </w:r>
      </w:hyperlink>
    </w:p>
  </w:endnote>
  <w:endnote w:id="4">
    <w:p w14:paraId="581CC167"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w:t>
      </w:r>
      <w:r w:rsidRPr="004978B7">
        <w:rPr>
          <w:sz w:val="12"/>
          <w:szCs w:val="12"/>
          <w:lang w:val="en-AU"/>
        </w:rPr>
        <w:t xml:space="preserve">2015 SI Demographic and Health Survey </w:t>
      </w:r>
      <w:hyperlink r:id="rId4" w:history="1">
        <w:r w:rsidRPr="004978B7">
          <w:rPr>
            <w:rStyle w:val="Hyperlink"/>
            <w:sz w:val="12"/>
            <w:szCs w:val="12"/>
          </w:rPr>
          <w:t>http://www.statistics.gov.sb/images/SolomonFiles/Survey_Statistics/DHS_2015/Final-Report_SI-Demographic-and-Health-Survey-2015.pdf</w:t>
        </w:r>
      </w:hyperlink>
    </w:p>
  </w:endnote>
  <w:endnote w:id="5">
    <w:p w14:paraId="62345EC3" w14:textId="77777777" w:rsidR="00ED0F9D" w:rsidRPr="004978B7" w:rsidRDefault="00ED0F9D" w:rsidP="00ED0F9D">
      <w:pPr>
        <w:rPr>
          <w:sz w:val="12"/>
          <w:szCs w:val="12"/>
          <w:lang w:val="en-AU"/>
        </w:rPr>
      </w:pPr>
      <w:r w:rsidRPr="004978B7">
        <w:rPr>
          <w:rStyle w:val="EndnoteReference"/>
          <w:sz w:val="12"/>
          <w:szCs w:val="12"/>
        </w:rPr>
        <w:endnoteRef/>
      </w:r>
      <w:r w:rsidRPr="004978B7">
        <w:rPr>
          <w:sz w:val="12"/>
          <w:szCs w:val="12"/>
        </w:rPr>
        <w:t xml:space="preserve"> </w:t>
      </w:r>
      <w:bookmarkStart w:id="0" w:name="_Hlk485702636"/>
      <w:r w:rsidRPr="004978B7">
        <w:rPr>
          <w:sz w:val="12"/>
          <w:szCs w:val="12"/>
        </w:rPr>
        <w:t xml:space="preserve">SI Poverty Profile based upon the 2012/2013 Household Income and Expenditure Survey </w:t>
      </w:r>
      <w:hyperlink r:id="rId5" w:history="1">
        <w:r w:rsidRPr="004978B7">
          <w:rPr>
            <w:rStyle w:val="Hyperlink"/>
            <w:sz w:val="12"/>
            <w:szCs w:val="12"/>
          </w:rPr>
          <w:t>http://www.statistics.gov.sb/images/SolomonFiles/Social-and-Demography-Statistics/SI_Report_on_Poverty_2012-13_HIES_FINAL/Solomon_Islands_Report_on_Poverty_2012-13_HIES_FINAL.pdf</w:t>
        </w:r>
      </w:hyperlink>
      <w:bookmarkEnd w:id="0"/>
    </w:p>
  </w:endnote>
  <w:endnote w:id="6">
    <w:p w14:paraId="0E245096"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w:t>
      </w:r>
      <w:r w:rsidRPr="004978B7">
        <w:rPr>
          <w:sz w:val="12"/>
          <w:szCs w:val="12"/>
          <w:lang w:val="en-AU"/>
        </w:rPr>
        <w:t>2015 SI Demographic and Health Survey</w:t>
      </w:r>
    </w:p>
  </w:endnote>
  <w:endnote w:id="7">
    <w:p w14:paraId="223433A1"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w:t>
      </w:r>
      <w:r w:rsidRPr="004978B7">
        <w:rPr>
          <w:sz w:val="12"/>
          <w:szCs w:val="12"/>
          <w:lang w:val="en-AU"/>
        </w:rPr>
        <w:t>2016 UNDP Human Development Report</w:t>
      </w:r>
    </w:p>
  </w:endnote>
  <w:endnote w:id="8">
    <w:p w14:paraId="47AD769D"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w:t>
      </w:r>
      <w:r w:rsidRPr="004978B7">
        <w:rPr>
          <w:sz w:val="12"/>
          <w:szCs w:val="12"/>
          <w:lang w:val="en-AU"/>
        </w:rPr>
        <w:t>2016 UNDP Human Development Report</w:t>
      </w:r>
    </w:p>
  </w:endnote>
  <w:endnote w:id="9">
    <w:p w14:paraId="64AC37AE"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w:t>
      </w:r>
      <w:r w:rsidRPr="004978B7">
        <w:rPr>
          <w:rFonts w:cs="Arial"/>
          <w:sz w:val="12"/>
          <w:szCs w:val="12"/>
        </w:rPr>
        <w:t>2009 Population and Housing Census</w:t>
      </w:r>
    </w:p>
  </w:endnote>
  <w:endnote w:id="10">
    <w:p w14:paraId="293FBBCF" w14:textId="77777777" w:rsidR="00ED0F9D" w:rsidRPr="004978B7" w:rsidRDefault="00ED0F9D" w:rsidP="00ED0F9D">
      <w:pPr>
        <w:rPr>
          <w:sz w:val="12"/>
          <w:szCs w:val="12"/>
          <w:lang w:val="en-AU"/>
        </w:rPr>
      </w:pPr>
      <w:r w:rsidRPr="004978B7">
        <w:rPr>
          <w:rStyle w:val="EndnoteReference"/>
          <w:sz w:val="12"/>
          <w:szCs w:val="12"/>
        </w:rPr>
        <w:endnoteRef/>
      </w:r>
      <w:r w:rsidRPr="004978B7">
        <w:rPr>
          <w:sz w:val="12"/>
          <w:szCs w:val="12"/>
        </w:rPr>
        <w:t xml:space="preserve"> National Statistics Office Solomon Islands </w:t>
      </w:r>
      <w:hyperlink r:id="rId6" w:history="1">
        <w:r w:rsidRPr="004978B7">
          <w:rPr>
            <w:rStyle w:val="Hyperlink"/>
            <w:sz w:val="12"/>
            <w:szCs w:val="12"/>
          </w:rPr>
          <w:t>http://www.statistics.gov.sb/</w:t>
        </w:r>
      </w:hyperlink>
    </w:p>
  </w:endnote>
  <w:endnote w:id="11">
    <w:p w14:paraId="0D14C8F2"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National Statistics Office Solomon Islands </w:t>
      </w:r>
      <w:hyperlink r:id="rId7" w:history="1">
        <w:r w:rsidRPr="004978B7">
          <w:rPr>
            <w:rStyle w:val="Hyperlink"/>
            <w:sz w:val="12"/>
            <w:szCs w:val="12"/>
          </w:rPr>
          <w:t>http://www.statistics.gov.sb/</w:t>
        </w:r>
      </w:hyperlink>
    </w:p>
  </w:endnote>
  <w:endnote w:id="12">
    <w:p w14:paraId="716DB019"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w:t>
      </w:r>
      <w:r w:rsidRPr="004978B7">
        <w:rPr>
          <w:sz w:val="12"/>
          <w:szCs w:val="12"/>
          <w:lang w:val="en-AU"/>
        </w:rPr>
        <w:t>2016 UNDP Human Development Report</w:t>
      </w:r>
    </w:p>
  </w:endnote>
  <w:endnote w:id="13">
    <w:p w14:paraId="1809942A" w14:textId="77777777" w:rsidR="00ED0F9D" w:rsidRPr="004978B7" w:rsidRDefault="00ED0F9D" w:rsidP="00ED0F9D">
      <w:pPr>
        <w:rPr>
          <w:sz w:val="12"/>
          <w:szCs w:val="12"/>
          <w:lang w:val="en-AU"/>
        </w:rPr>
      </w:pPr>
      <w:r w:rsidRPr="004978B7">
        <w:rPr>
          <w:rStyle w:val="EndnoteReference"/>
          <w:sz w:val="12"/>
          <w:szCs w:val="12"/>
        </w:rPr>
        <w:endnoteRef/>
      </w:r>
      <w:r w:rsidRPr="004978B7">
        <w:rPr>
          <w:sz w:val="12"/>
          <w:szCs w:val="12"/>
        </w:rPr>
        <w:t xml:space="preserve"> SI Poverty Profile based upon the 2012/2013 Household Income and Expenditure Survey</w:t>
      </w:r>
    </w:p>
  </w:endnote>
  <w:endnote w:id="14">
    <w:p w14:paraId="4285C415"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w:t>
      </w:r>
      <w:r w:rsidRPr="004978B7">
        <w:rPr>
          <w:sz w:val="12"/>
          <w:szCs w:val="12"/>
          <w:lang w:val="en-AU"/>
        </w:rPr>
        <w:t>2016 UNDP Human Development Report</w:t>
      </w:r>
    </w:p>
  </w:endnote>
  <w:endnote w:id="15">
    <w:p w14:paraId="20C035A5" w14:textId="77777777" w:rsidR="00ED0F9D" w:rsidRPr="004978B7" w:rsidRDefault="00ED0F9D" w:rsidP="00ED0F9D">
      <w:pPr>
        <w:pStyle w:val="EndnoteText"/>
        <w:rPr>
          <w:sz w:val="12"/>
          <w:szCs w:val="12"/>
        </w:rPr>
      </w:pPr>
      <w:r w:rsidRPr="004978B7">
        <w:rPr>
          <w:rStyle w:val="EndnoteReference"/>
          <w:sz w:val="12"/>
          <w:szCs w:val="12"/>
        </w:rPr>
        <w:endnoteRef/>
      </w:r>
      <w:r w:rsidRPr="004978B7">
        <w:rPr>
          <w:sz w:val="12"/>
          <w:szCs w:val="12"/>
        </w:rPr>
        <w:t xml:space="preserve"> 2015 ADB Solomon Islands Country Gender Assessment</w:t>
      </w:r>
    </w:p>
  </w:endnote>
  <w:endnote w:id="16">
    <w:p w14:paraId="08D6B085"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w:t>
      </w:r>
      <w:hyperlink r:id="rId8" w:history="1">
        <w:r w:rsidRPr="004978B7">
          <w:rPr>
            <w:rStyle w:val="Hyperlink"/>
            <w:sz w:val="12"/>
            <w:szCs w:val="12"/>
          </w:rPr>
          <w:t>http://pacificpolicy.org/files/2013/04/Solomon-Islands-TRC-Final-Report-Vol-3.pdf</w:t>
        </w:r>
      </w:hyperlink>
      <w:r w:rsidRPr="004978B7">
        <w:rPr>
          <w:sz w:val="12"/>
          <w:szCs w:val="12"/>
        </w:rPr>
        <w:t xml:space="preserve"> </w:t>
      </w:r>
    </w:p>
  </w:endnote>
  <w:endnote w:id="17">
    <w:p w14:paraId="2F3E8CEC"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w:t>
      </w:r>
      <w:r w:rsidRPr="004978B7">
        <w:rPr>
          <w:sz w:val="12"/>
          <w:szCs w:val="12"/>
          <w:lang w:val="en-AU"/>
        </w:rPr>
        <w:t>2015 SI Demographic and Health Survey</w:t>
      </w:r>
    </w:p>
  </w:endnote>
  <w:endnote w:id="18">
    <w:p w14:paraId="0DB112D4"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w:t>
      </w:r>
      <w:r w:rsidRPr="004978B7">
        <w:rPr>
          <w:sz w:val="12"/>
          <w:szCs w:val="12"/>
          <w:lang w:val="en-AU"/>
        </w:rPr>
        <w:t>2015 SI Demographic and Health Survey</w:t>
      </w:r>
    </w:p>
  </w:endnote>
  <w:endnote w:id="19">
    <w:p w14:paraId="5D2C015E"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w:t>
      </w:r>
      <w:r w:rsidRPr="004978B7">
        <w:rPr>
          <w:sz w:val="12"/>
          <w:szCs w:val="12"/>
          <w:lang w:val="en-AU"/>
        </w:rPr>
        <w:t>2015 SI Demographic and Health Survey</w:t>
      </w:r>
    </w:p>
  </w:endnote>
  <w:endnote w:id="20">
    <w:p w14:paraId="7C3D4F62"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2015 ADB Solomon Islands Country Gender Assessment</w:t>
      </w:r>
    </w:p>
  </w:endnote>
  <w:endnote w:id="21">
    <w:p w14:paraId="571B5371" w14:textId="77777777" w:rsidR="00ED0F9D" w:rsidRPr="004978B7" w:rsidRDefault="00ED0F9D" w:rsidP="00ED0F9D">
      <w:pPr>
        <w:pStyle w:val="EndnoteText"/>
        <w:rPr>
          <w:sz w:val="12"/>
          <w:szCs w:val="12"/>
        </w:rPr>
      </w:pPr>
      <w:r w:rsidRPr="004978B7">
        <w:rPr>
          <w:rStyle w:val="EndnoteReference"/>
          <w:sz w:val="12"/>
          <w:szCs w:val="12"/>
        </w:rPr>
        <w:endnoteRef/>
      </w:r>
      <w:r w:rsidRPr="004978B7">
        <w:rPr>
          <w:sz w:val="12"/>
          <w:szCs w:val="12"/>
        </w:rPr>
        <w:t xml:space="preserve"> 2015 ADB Solomon Islands Country Gender Assessment</w:t>
      </w:r>
    </w:p>
  </w:endnote>
  <w:endnote w:id="22">
    <w:p w14:paraId="4E5D052B" w14:textId="77777777" w:rsidR="00ED0F9D" w:rsidRPr="004978B7" w:rsidRDefault="00ED0F9D" w:rsidP="00ED0F9D">
      <w:pPr>
        <w:pStyle w:val="EndnoteText"/>
        <w:rPr>
          <w:sz w:val="12"/>
          <w:szCs w:val="12"/>
        </w:rPr>
      </w:pPr>
      <w:r w:rsidRPr="004978B7">
        <w:rPr>
          <w:rStyle w:val="EndnoteReference"/>
          <w:sz w:val="12"/>
          <w:szCs w:val="12"/>
        </w:rPr>
        <w:endnoteRef/>
      </w:r>
      <w:r w:rsidRPr="004978B7">
        <w:rPr>
          <w:sz w:val="12"/>
          <w:szCs w:val="12"/>
        </w:rPr>
        <w:t xml:space="preserve"> 2015 ADB Solomon Islands Country Gender Assessment</w:t>
      </w:r>
    </w:p>
  </w:endnote>
  <w:endnote w:id="23">
    <w:p w14:paraId="619C2AC5" w14:textId="77777777" w:rsidR="00ED0F9D" w:rsidRPr="004978B7" w:rsidRDefault="00ED0F9D" w:rsidP="00ED0F9D">
      <w:pPr>
        <w:pStyle w:val="EndnoteText"/>
        <w:rPr>
          <w:sz w:val="12"/>
          <w:szCs w:val="12"/>
        </w:rPr>
      </w:pPr>
      <w:r w:rsidRPr="004978B7">
        <w:rPr>
          <w:rStyle w:val="EndnoteReference"/>
          <w:sz w:val="12"/>
          <w:szCs w:val="12"/>
        </w:rPr>
        <w:endnoteRef/>
      </w:r>
      <w:r w:rsidRPr="004978B7">
        <w:rPr>
          <w:sz w:val="12"/>
          <w:szCs w:val="12"/>
        </w:rPr>
        <w:t xml:space="preserve"> 2015 ADB Solomon Islands Country Gender Assessment</w:t>
      </w:r>
    </w:p>
  </w:endnote>
  <w:endnote w:id="24">
    <w:p w14:paraId="3F21B3D7"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2015 ADB Solomon Islands Country Gender Assessment</w:t>
      </w:r>
    </w:p>
  </w:endnote>
  <w:endnote w:id="25">
    <w:p w14:paraId="0AFD04A4"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w:t>
      </w:r>
      <w:r w:rsidRPr="004978B7">
        <w:rPr>
          <w:sz w:val="12"/>
          <w:szCs w:val="12"/>
          <w:lang w:val="en-AU"/>
        </w:rPr>
        <w:t>2009 Population and Housing Census</w:t>
      </w:r>
    </w:p>
  </w:endnote>
  <w:endnote w:id="26">
    <w:p w14:paraId="27A7D0A3"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w:t>
      </w:r>
      <w:r w:rsidRPr="004978B7">
        <w:rPr>
          <w:sz w:val="12"/>
          <w:szCs w:val="12"/>
          <w:lang w:val="en-AU"/>
        </w:rPr>
        <w:t>2009 Population and Housing Census: Report on Economic Activity and Labour Force</w:t>
      </w:r>
    </w:p>
  </w:endnote>
  <w:endnote w:id="27">
    <w:p w14:paraId="6BFBB482"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w:t>
      </w:r>
      <w:r w:rsidRPr="004978B7">
        <w:rPr>
          <w:sz w:val="12"/>
          <w:szCs w:val="12"/>
          <w:lang w:val="en-AU"/>
        </w:rPr>
        <w:t>2015 SI Demographic and Health Survey</w:t>
      </w:r>
    </w:p>
  </w:endnote>
  <w:endnote w:id="28">
    <w:p w14:paraId="3248E161" w14:textId="77777777" w:rsidR="00ED0F9D" w:rsidRPr="004978B7" w:rsidRDefault="00ED0F9D" w:rsidP="00ED0F9D">
      <w:pPr>
        <w:pStyle w:val="EndnoteText"/>
        <w:rPr>
          <w:sz w:val="12"/>
          <w:szCs w:val="12"/>
        </w:rPr>
      </w:pPr>
      <w:r w:rsidRPr="004978B7">
        <w:rPr>
          <w:rStyle w:val="EndnoteReference"/>
          <w:sz w:val="12"/>
          <w:szCs w:val="12"/>
        </w:rPr>
        <w:endnoteRef/>
      </w:r>
      <w:r w:rsidRPr="004978B7">
        <w:rPr>
          <w:sz w:val="12"/>
          <w:szCs w:val="12"/>
        </w:rPr>
        <w:t xml:space="preserve"> 2015 ADB Solomon Islands Country Gender Assessment</w:t>
      </w:r>
    </w:p>
  </w:endnote>
  <w:endnote w:id="29">
    <w:p w14:paraId="30FB0D59"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w:t>
      </w:r>
      <w:r w:rsidRPr="004978B7">
        <w:rPr>
          <w:sz w:val="12"/>
          <w:szCs w:val="12"/>
          <w:lang w:val="en-AU"/>
        </w:rPr>
        <w:t>2016 UNDP Human Development Report</w:t>
      </w:r>
    </w:p>
  </w:endnote>
  <w:endnote w:id="30">
    <w:p w14:paraId="2A3BD145"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2015 ADB Solomon Islands Country Gender Assessment</w:t>
      </w:r>
    </w:p>
  </w:endnote>
  <w:endnote w:id="31">
    <w:p w14:paraId="53D817E9"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2015 ADB Solomon Islands Country Gender Assessment</w:t>
      </w:r>
    </w:p>
  </w:endnote>
  <w:endnote w:id="32">
    <w:p w14:paraId="241A294D" w14:textId="77777777" w:rsidR="00ED0F9D" w:rsidRPr="004978B7" w:rsidRDefault="00ED0F9D" w:rsidP="00ED0F9D">
      <w:pPr>
        <w:rPr>
          <w:sz w:val="12"/>
          <w:szCs w:val="12"/>
          <w:lang w:val="en-AU"/>
        </w:rPr>
      </w:pPr>
      <w:r w:rsidRPr="004978B7">
        <w:rPr>
          <w:rStyle w:val="EndnoteReference"/>
          <w:sz w:val="12"/>
          <w:szCs w:val="12"/>
        </w:rPr>
        <w:endnoteRef/>
      </w:r>
      <w:r w:rsidRPr="004978B7">
        <w:rPr>
          <w:sz w:val="12"/>
          <w:szCs w:val="12"/>
        </w:rPr>
        <w:t xml:space="preserve"> </w:t>
      </w:r>
      <w:hyperlink r:id="rId9" w:history="1">
        <w:r w:rsidRPr="004978B7">
          <w:rPr>
            <w:rStyle w:val="Hyperlink"/>
            <w:sz w:val="12"/>
            <w:szCs w:val="12"/>
          </w:rPr>
          <w:t>www.pacwip.org</w:t>
        </w:r>
      </w:hyperlink>
    </w:p>
  </w:endnote>
  <w:endnote w:id="33">
    <w:p w14:paraId="1AAF38C8"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2015 ADB Solomon Islands Country Gender Assessment</w:t>
      </w:r>
    </w:p>
  </w:endnote>
  <w:endnote w:id="34">
    <w:p w14:paraId="4F2200E9"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w:t>
      </w:r>
      <w:r w:rsidRPr="004978B7">
        <w:rPr>
          <w:sz w:val="12"/>
          <w:szCs w:val="12"/>
          <w:lang w:val="en-AU"/>
        </w:rPr>
        <w:t>2016 UNDP Human Development Report</w:t>
      </w:r>
    </w:p>
  </w:endnote>
  <w:endnote w:id="35">
    <w:p w14:paraId="6689C395"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2015 ADB Solomon Islands Country Gender Assessment</w:t>
      </w:r>
    </w:p>
  </w:endnote>
  <w:endnote w:id="36">
    <w:p w14:paraId="4E211C45"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2015 ADB Solomon Islands Country Gender Assessment</w:t>
      </w:r>
    </w:p>
  </w:endnote>
  <w:endnote w:id="37">
    <w:p w14:paraId="6746678B" w14:textId="77777777" w:rsidR="00ED0F9D" w:rsidRPr="004978B7" w:rsidRDefault="00ED0F9D" w:rsidP="00ED0F9D">
      <w:pPr>
        <w:pStyle w:val="EndnoteText"/>
        <w:rPr>
          <w:rFonts w:cs="Arial"/>
          <w:sz w:val="12"/>
          <w:szCs w:val="12"/>
        </w:rPr>
      </w:pPr>
      <w:r w:rsidRPr="004978B7">
        <w:rPr>
          <w:rStyle w:val="EndnoteReference"/>
          <w:sz w:val="12"/>
          <w:szCs w:val="12"/>
        </w:rPr>
        <w:endnoteRef/>
      </w:r>
      <w:r w:rsidRPr="004978B7">
        <w:rPr>
          <w:sz w:val="12"/>
          <w:szCs w:val="12"/>
        </w:rPr>
        <w:t xml:space="preserve"> </w:t>
      </w:r>
      <w:r w:rsidRPr="004978B7">
        <w:rPr>
          <w:rFonts w:cs="Arial"/>
          <w:sz w:val="12"/>
          <w:szCs w:val="12"/>
        </w:rPr>
        <w:t>WHO 2013 Violence against women in Solomon Islands: translating research into policy and action on the social determinants of health.</w:t>
      </w:r>
    </w:p>
  </w:endnote>
  <w:endnote w:id="38">
    <w:p w14:paraId="12FF2F98" w14:textId="77777777" w:rsidR="00ED0F9D" w:rsidRPr="004978B7" w:rsidRDefault="00ED0F9D" w:rsidP="00ED0F9D">
      <w:pPr>
        <w:pStyle w:val="EndnoteText"/>
        <w:rPr>
          <w:sz w:val="12"/>
          <w:szCs w:val="12"/>
        </w:rPr>
      </w:pPr>
      <w:r w:rsidRPr="004978B7">
        <w:rPr>
          <w:rStyle w:val="EndnoteReference"/>
          <w:sz w:val="12"/>
          <w:szCs w:val="12"/>
        </w:rPr>
        <w:endnoteRef/>
      </w:r>
      <w:r w:rsidRPr="004978B7">
        <w:rPr>
          <w:sz w:val="12"/>
          <w:szCs w:val="12"/>
        </w:rPr>
        <w:t xml:space="preserve"> WHO 2013 Violence against women in Solomon Islands: translating research into policy and action on the social determinants of health.</w:t>
      </w:r>
    </w:p>
  </w:endnote>
  <w:endnote w:id="39">
    <w:p w14:paraId="62D18381" w14:textId="77777777" w:rsidR="00ED0F9D" w:rsidRPr="004978B7"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2015 ADB Solomon Islands Country Gender Assessment</w:t>
      </w:r>
    </w:p>
  </w:endnote>
  <w:endnote w:id="40">
    <w:p w14:paraId="1DD961B3" w14:textId="73403858" w:rsidR="001D59BD" w:rsidRPr="004978B7" w:rsidRDefault="001D59BD">
      <w:pPr>
        <w:pStyle w:val="EndnoteText"/>
        <w:rPr>
          <w:sz w:val="12"/>
          <w:szCs w:val="12"/>
        </w:rPr>
      </w:pPr>
      <w:r w:rsidRPr="004978B7">
        <w:rPr>
          <w:rStyle w:val="EndnoteReference"/>
          <w:sz w:val="12"/>
          <w:szCs w:val="12"/>
        </w:rPr>
        <w:endnoteRef/>
      </w:r>
      <w:r w:rsidRPr="004978B7">
        <w:rPr>
          <w:sz w:val="12"/>
          <w:szCs w:val="12"/>
        </w:rPr>
        <w:t xml:space="preserve"> 2016 Equal Rights Trust Country Report: Solomon Islands. Stand Up and Fight </w:t>
      </w:r>
      <w:hyperlink r:id="rId10" w:history="1">
        <w:r w:rsidRPr="004978B7">
          <w:rPr>
            <w:rStyle w:val="Hyperlink"/>
            <w:sz w:val="12"/>
            <w:szCs w:val="12"/>
          </w:rPr>
          <w:t>http://www.equalrightstrust.org/ertdocumentbank/SI%20report.pdf</w:t>
        </w:r>
      </w:hyperlink>
      <w:r w:rsidRPr="004978B7">
        <w:rPr>
          <w:sz w:val="12"/>
          <w:szCs w:val="12"/>
        </w:rPr>
        <w:t xml:space="preserve"> </w:t>
      </w:r>
    </w:p>
  </w:endnote>
  <w:endnote w:id="41">
    <w:p w14:paraId="1AAEC8ED" w14:textId="77777777" w:rsidR="00ED0F9D" w:rsidRPr="00A9070E" w:rsidRDefault="00ED0F9D" w:rsidP="00ED0F9D">
      <w:pPr>
        <w:pStyle w:val="EndnoteText"/>
        <w:rPr>
          <w:sz w:val="12"/>
          <w:szCs w:val="12"/>
          <w:lang w:val="en-AU"/>
        </w:rPr>
      </w:pPr>
      <w:r w:rsidRPr="004978B7">
        <w:rPr>
          <w:rStyle w:val="EndnoteReference"/>
          <w:sz w:val="12"/>
          <w:szCs w:val="12"/>
        </w:rPr>
        <w:endnoteRef/>
      </w:r>
      <w:r w:rsidRPr="004978B7">
        <w:rPr>
          <w:sz w:val="12"/>
          <w:szCs w:val="12"/>
        </w:rPr>
        <w:t xml:space="preserve"> </w:t>
      </w:r>
      <w:hyperlink r:id="rId11" w:history="1">
        <w:r w:rsidRPr="004978B7">
          <w:rPr>
            <w:rStyle w:val="Hyperlink"/>
            <w:sz w:val="12"/>
            <w:szCs w:val="12"/>
          </w:rPr>
          <w:t>http://www.preventionweb.net/english/countries/oceania/slb/</w:t>
        </w:r>
      </w:hyperlink>
      <w:r>
        <w:rPr>
          <w:sz w:val="12"/>
          <w:szCs w:val="1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ITC Officina Sans Book">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Officina Sans ITC TT">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B8CE" w14:textId="2D8B4008" w:rsidR="00BE1B69" w:rsidRPr="00BC1A63" w:rsidRDefault="00960DAC" w:rsidP="00BC1A63">
    <w:pPr>
      <w:pStyle w:val="Footer"/>
      <w:ind w:left="-1276"/>
      <w:rPr>
        <w:b/>
      </w:rPr>
    </w:pPr>
    <w:r>
      <w:rPr>
        <w:b/>
        <w:noProof/>
        <w:lang w:val="en-AU" w:eastAsia="en-AU"/>
      </w:rPr>
      <mc:AlternateContent>
        <mc:Choice Requires="wps">
          <w:drawing>
            <wp:anchor distT="0" distB="0" distL="114300" distR="114300" simplePos="0" relativeHeight="251660288" behindDoc="0" locked="0" layoutInCell="1" allowOverlap="1" wp14:anchorId="62172788" wp14:editId="5A75D96A">
              <wp:simplePos x="0" y="0"/>
              <wp:positionH relativeFrom="margin">
                <wp:posOffset>-1488440</wp:posOffset>
              </wp:positionH>
              <wp:positionV relativeFrom="paragraph">
                <wp:posOffset>-4275456</wp:posOffset>
              </wp:positionV>
              <wp:extent cx="9247505" cy="6734175"/>
              <wp:effectExtent l="0" t="0" r="0"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7505" cy="6734175"/>
                      </a:xfrm>
                      <a:prstGeom prst="rect">
                        <a:avLst/>
                      </a:prstGeom>
                      <a:solidFill>
                        <a:schemeClr val="accent6">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40161" dir="4293903"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4FBE6" id="Rectangle 15" o:spid="_x0000_s1026" style="position:absolute;margin-left:-117.2pt;margin-top:-336.65pt;width:728.15pt;height:53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" fillcolor="#f79646 [3209]" stroked="f" strokecolor="#f2f2f2 [3041]" strokeweight="3pt">
              <v:shadow color="#974706 [1609]" opacity=".5" offset="1pt,3pt"/>
              <w10:wrap anchorx="margin"/>
            </v:rect>
          </w:pict>
        </mc:Fallback>
      </mc:AlternateContent>
    </w:r>
    <w:r w:rsidR="00BE1B69">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07FDD" w14:textId="77777777" w:rsidR="00BE1B69" w:rsidRPr="00B6795E" w:rsidRDefault="00BE1B69" w:rsidP="006812FE">
    <w:pPr>
      <w:pStyle w:val="Footer"/>
      <w:tabs>
        <w:tab w:val="clear" w:pos="4513"/>
        <w:tab w:val="clear" w:pos="9026"/>
        <w:tab w:val="left" w:pos="1019"/>
      </w:tabs>
      <w:ind w:left="-426"/>
    </w:pPr>
    <w:r w:rsidRPr="006812FE">
      <w:rPr>
        <w:noProof/>
        <w:lang w:val="en-AU" w:eastAsia="en-AU"/>
      </w:rPr>
      <w:drawing>
        <wp:inline distT="0" distB="0" distL="0" distR="0" wp14:anchorId="5C6F0D2F" wp14:editId="0A5DE85A">
          <wp:extent cx="655876" cy="436728"/>
          <wp:effectExtent l="0" t="0" r="0" b="1905"/>
          <wp:docPr id="91" name="Picture 11" descr="word templa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 footer.jpg"/>
                  <pic:cNvPicPr/>
                </pic:nvPicPr>
                <pic:blipFill rotWithShape="1">
                  <a:blip r:embed="rId1"/>
                  <a:srcRect b="27680"/>
                  <a:stretch/>
                </pic:blipFill>
                <pic:spPr bwMode="auto">
                  <a:xfrm>
                    <a:off x="0" y="0"/>
                    <a:ext cx="656114" cy="436886"/>
                  </a:xfrm>
                  <a:prstGeom prst="rect">
                    <a:avLst/>
                  </a:prstGeom>
                  <a:ln>
                    <a:noFill/>
                  </a:ln>
                  <a:extLst>
                    <a:ext uri="{53640926-AAD7-44D8-BBD7-CCE9431645EC}">
                      <a14:shadowObscured xmlns:a14="http://schemas.microsoft.com/office/drawing/2010/main"/>
                    </a:ext>
                  </a:extLst>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1BB2C" w14:textId="77777777" w:rsidR="005C6ACF" w:rsidRDefault="005C6ACF" w:rsidP="008C2949">
      <w:r>
        <w:separator/>
      </w:r>
    </w:p>
  </w:footnote>
  <w:footnote w:type="continuationSeparator" w:id="0">
    <w:p w14:paraId="547D60E1" w14:textId="77777777" w:rsidR="005C6ACF" w:rsidRDefault="005C6ACF" w:rsidP="008C2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5D36D" w14:textId="586B7598" w:rsidR="00BE1B69" w:rsidRPr="002D6D0C" w:rsidRDefault="00BE1B69" w:rsidP="00BC1A63">
    <w:pPr>
      <w:pStyle w:val="Header"/>
      <w:ind w:left="-567" w:hanging="851"/>
      <w:rPr>
        <w:rFonts w:ascii="Officina Sans ITC TT" w:hAnsi="Officina Sans ITC TT"/>
        <w:sz w:val="52"/>
        <w:szCs w:val="5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5D44" w14:textId="77041058" w:rsidR="00BE1B69" w:rsidRDefault="00C27A7F" w:rsidP="00C27A7F">
    <w:pPr>
      <w:pStyle w:val="Header"/>
      <w:tabs>
        <w:tab w:val="clear" w:pos="4513"/>
        <w:tab w:val="clear" w:pos="9026"/>
        <w:tab w:val="left" w:pos="5534"/>
        <w:tab w:val="left" w:pos="8704"/>
      </w:tabs>
      <w:ind w:left="-1276"/>
    </w:pPr>
    <w:r>
      <w:rPr>
        <w:noProof/>
        <w:lang w:val="en-AU" w:eastAsia="en-AU"/>
      </w:rPr>
      <mc:AlternateContent>
        <mc:Choice Requires="wps">
          <w:drawing>
            <wp:anchor distT="0" distB="0" distL="114300" distR="114300" simplePos="0" relativeHeight="251658240" behindDoc="0" locked="0" layoutInCell="1" allowOverlap="1" wp14:anchorId="2D546D5D" wp14:editId="0F2B5871">
              <wp:simplePos x="0" y="0"/>
              <wp:positionH relativeFrom="column">
                <wp:posOffset>-687203</wp:posOffset>
              </wp:positionH>
              <wp:positionV relativeFrom="paragraph">
                <wp:posOffset>1815151</wp:posOffset>
              </wp:positionV>
              <wp:extent cx="7767955" cy="1917511"/>
              <wp:effectExtent l="0" t="0" r="4445" b="698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955" cy="1917511"/>
                      </a:xfrm>
                      <a:prstGeom prst="rect">
                        <a:avLst/>
                      </a:prstGeom>
                      <a:solidFill>
                        <a:schemeClr val="accent6">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40161" dir="4293903" algn="ctr" rotWithShape="0">
                                <a:schemeClr val="accent6">
                                  <a:lumMod val="50000"/>
                                  <a:lumOff val="0"/>
                                  <a:alpha val="50000"/>
                                </a:schemeClr>
                              </a:outerShdw>
                            </a:effectLst>
                          </a14:hiddenEffects>
                        </a:ext>
                      </a:extLst>
                    </wps:spPr>
                    <wps:txbx>
                      <w:txbxContent>
                        <w:p w14:paraId="40C0A1CB" w14:textId="77777777" w:rsidR="00BE1B69" w:rsidRPr="001F2A47" w:rsidRDefault="00BE1B69" w:rsidP="00E71D4E">
                          <w:pPr>
                            <w:ind w:left="1418"/>
                            <w:rPr>
                              <w:rFonts w:ascii="ITC Officina Sans Book" w:hAnsi="ITC Officina Sans Book"/>
                              <w:color w:val="FFFFFF" w:themeColor="background1"/>
                              <w:sz w:val="44"/>
                              <w:szCs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46D5D" id="_x0000_t202" coordsize="21600,21600" o:spt="202" path="m,l,21600r21600,l21600,xe">
              <v:stroke joinstyle="miter"/>
              <v:path gradientshapeok="t" o:connecttype="rect"/>
            </v:shapetype>
            <v:shape id="Text Box 11" o:spid="_x0000_s1026" type="#_x0000_t202" style="position:absolute;left:0;text-align:left;margin-left:-54.1pt;margin-top:142.95pt;width:611.65pt;height: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" fillcolor="#f79646 [3209]" stroked="f" strokecolor="#f2f2f2 [3041]" strokeweight="3pt">
              <v:shadow color="#974706 [1609]" opacity=".5" offset="1pt,3pt"/>
              <v:textbox>
                <w:txbxContent>
                  <w:p w14:paraId="40C0A1CB" w14:textId="77777777" w:rsidR="00BE1B69" w:rsidRPr="001F2A47" w:rsidRDefault="00BE1B69" w:rsidP="00E71D4E">
                    <w:pPr>
                      <w:ind w:left="1418"/>
                      <w:rPr>
                        <w:rFonts w:ascii="ITC Officina Sans Book" w:hAnsi="ITC Officina Sans Book"/>
                        <w:color w:val="FFFFFF" w:themeColor="background1"/>
                        <w:sz w:val="44"/>
                        <w:szCs w:val="44"/>
                      </w:rPr>
                    </w:pPr>
                  </w:p>
                </w:txbxContent>
              </v:textbox>
            </v:shape>
          </w:pict>
        </mc:Fallback>
      </mc:AlternateContent>
    </w:r>
    <w:r w:rsidRPr="0059752C">
      <w:rPr>
        <w:noProof/>
        <w:lang w:val="en-AU" w:eastAsia="en-AU"/>
      </w:rPr>
      <w:drawing>
        <wp:anchor distT="0" distB="0" distL="114300" distR="114300" simplePos="0" relativeHeight="251662336" behindDoc="1" locked="0" layoutInCell="1" allowOverlap="1" wp14:anchorId="04EE6300" wp14:editId="2F3415AC">
          <wp:simplePos x="0" y="0"/>
          <wp:positionH relativeFrom="column">
            <wp:posOffset>-809625</wp:posOffset>
          </wp:positionH>
          <wp:positionV relativeFrom="paragraph">
            <wp:posOffset>0</wp:posOffset>
          </wp:positionV>
          <wp:extent cx="7774940" cy="1835150"/>
          <wp:effectExtent l="0" t="0" r="0" b="0"/>
          <wp:wrapNone/>
          <wp:docPr id="9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510 CAMBODIA10 IMG_4367.jpg"/>
                  <pic:cNvPicPr/>
                </pic:nvPicPr>
                <pic:blipFill rotWithShape="1">
                  <a:blip r:embed="rId1" cstate="print">
                    <a:extLst>
                      <a:ext uri="{28A0092B-C50C-407E-A947-70E740481C1C}">
                        <a14:useLocalDpi xmlns:a14="http://schemas.microsoft.com/office/drawing/2010/main" val="0"/>
                      </a:ext>
                    </a:extLst>
                  </a:blip>
                  <a:srcRect l="-1858" t="-1" r="-269" b="39822"/>
                  <a:stretch/>
                </pic:blipFill>
                <pic:spPr bwMode="auto">
                  <a:xfrm>
                    <a:off x="0" y="0"/>
                    <a:ext cx="7774940" cy="1835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1312" behindDoc="0" locked="0" layoutInCell="1" allowOverlap="1" wp14:anchorId="1AF46446" wp14:editId="2FE998C6">
              <wp:simplePos x="0" y="0"/>
              <wp:positionH relativeFrom="column">
                <wp:posOffset>-17467</wp:posOffset>
              </wp:positionH>
              <wp:positionV relativeFrom="paragraph">
                <wp:posOffset>1897465</wp:posOffset>
              </wp:positionV>
              <wp:extent cx="3108325" cy="141351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413510"/>
                      </a:xfrm>
                      <a:prstGeom prst="rect">
                        <a:avLst/>
                      </a:prstGeom>
                      <a:noFill/>
                      <a:ln>
                        <a:noFill/>
                      </a:ln>
                      <a:effectLst/>
                      <a:extLst>
                        <a:ext uri="{909E8E84-426E-40DD-AFC4-6F175D3DCCD1}">
                          <a14:hiddenFill xmlns:a14="http://schemas.microsoft.com/office/drawing/2010/main">
                            <a:solidFill>
                              <a:schemeClr val="accent6">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916CA7E" w14:textId="04B9F600" w:rsidR="00BE1B69" w:rsidRPr="00AD6472" w:rsidRDefault="004C431B">
                          <w:pPr>
                            <w:rPr>
                              <w:rFonts w:cs="Arial"/>
                              <w:b/>
                              <w:color w:val="FFFFFF" w:themeColor="background1"/>
                              <w:sz w:val="72"/>
                              <w:szCs w:val="72"/>
                            </w:rPr>
                          </w:pPr>
                          <w:r>
                            <w:rPr>
                              <w:rFonts w:cs="Arial"/>
                              <w:b/>
                              <w:color w:val="FFFFFF" w:themeColor="background1"/>
                              <w:sz w:val="72"/>
                              <w:szCs w:val="72"/>
                            </w:rPr>
                            <w:t>Solomon Islands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46446" id="_x0000_t202" coordsize="21600,21600" o:spt="202" path="m,l,21600r21600,l21600,xe">
              <v:stroke joinstyle="miter"/>
              <v:path gradientshapeok="t" o:connecttype="rect"/>
            </v:shapetype>
            <v:shape id="Text Box 19" o:spid="_x0000_s1027" type="#_x0000_t202" style="position:absolute;left:0;text-align:left;margin-left:-1.4pt;margin-top:149.4pt;width:244.75pt;height:1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" filled="f" fillcolor="#f79646 [3209]" stroked="f" strokecolor="#f2f2f2 [3041]" strokeweight="3pt">
              <v:textbox>
                <w:txbxContent>
                  <w:p w14:paraId="4916CA7E" w14:textId="04B9F600" w:rsidR="00BE1B69" w:rsidRPr="00AD6472" w:rsidRDefault="004C431B">
                    <w:pPr>
                      <w:rPr>
                        <w:rFonts w:cs="Arial"/>
                        <w:b/>
                        <w:color w:val="FFFFFF" w:themeColor="background1"/>
                        <w:sz w:val="72"/>
                        <w:szCs w:val="72"/>
                      </w:rPr>
                    </w:pPr>
                    <w:r>
                      <w:rPr>
                        <w:rFonts w:cs="Arial"/>
                        <w:b/>
                        <w:color w:val="FFFFFF" w:themeColor="background1"/>
                        <w:sz w:val="72"/>
                        <w:szCs w:val="72"/>
                      </w:rPr>
                      <w:t>Solomon Islands</w:t>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64222"/>
    <w:multiLevelType w:val="hybridMultilevel"/>
    <w:tmpl w:val="F564A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AD0F79"/>
    <w:multiLevelType w:val="hybridMultilevel"/>
    <w:tmpl w:val="8116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6623C2"/>
    <w:multiLevelType w:val="hybridMultilevel"/>
    <w:tmpl w:val="02A82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CB13BA"/>
    <w:multiLevelType w:val="hybridMultilevel"/>
    <w:tmpl w:val="1A4C4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B01F95"/>
    <w:multiLevelType w:val="hybridMultilevel"/>
    <w:tmpl w:val="AD3E9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D76E79"/>
    <w:multiLevelType w:val="hybridMultilevel"/>
    <w:tmpl w:val="EE38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85B60"/>
    <w:multiLevelType w:val="hybridMultilevel"/>
    <w:tmpl w:val="8DA6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97524B"/>
    <w:multiLevelType w:val="hybridMultilevel"/>
    <w:tmpl w:val="80C2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8E15DF"/>
    <w:multiLevelType w:val="hybridMultilevel"/>
    <w:tmpl w:val="5D1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13D58"/>
    <w:multiLevelType w:val="hybridMultilevel"/>
    <w:tmpl w:val="4DDC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A346ED"/>
    <w:multiLevelType w:val="hybridMultilevel"/>
    <w:tmpl w:val="63CC2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A34E5D"/>
    <w:multiLevelType w:val="hybridMultilevel"/>
    <w:tmpl w:val="8D8CDC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442460"/>
    <w:multiLevelType w:val="hybridMultilevel"/>
    <w:tmpl w:val="5232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11201"/>
    <w:multiLevelType w:val="hybridMultilevel"/>
    <w:tmpl w:val="E648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E45173"/>
    <w:multiLevelType w:val="hybridMultilevel"/>
    <w:tmpl w:val="FAD0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E461E7"/>
    <w:multiLevelType w:val="hybridMultilevel"/>
    <w:tmpl w:val="E6500BA4"/>
    <w:lvl w:ilvl="0" w:tplc="0409000F">
      <w:start w:val="1"/>
      <w:numFmt w:val="decimal"/>
      <w:lvlText w:val="%1."/>
      <w:lvlJc w:val="left"/>
      <w:pPr>
        <w:ind w:left="360" w:hanging="360"/>
      </w:pPr>
      <w:rPr>
        <w:rFonts w:hint="default"/>
      </w:rPr>
    </w:lvl>
    <w:lvl w:ilvl="1" w:tplc="E9C48FE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5459A6"/>
    <w:multiLevelType w:val="hybridMultilevel"/>
    <w:tmpl w:val="EF7E66F0"/>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15"/>
  </w:num>
  <w:num w:numId="2">
    <w:abstractNumId w:val="16"/>
  </w:num>
  <w:num w:numId="3">
    <w:abstractNumId w:val="9"/>
  </w:num>
  <w:num w:numId="4">
    <w:abstractNumId w:val="6"/>
  </w:num>
  <w:num w:numId="5">
    <w:abstractNumId w:val="12"/>
  </w:num>
  <w:num w:numId="6">
    <w:abstractNumId w:val="8"/>
  </w:num>
  <w:num w:numId="7">
    <w:abstractNumId w:val="13"/>
  </w:num>
  <w:num w:numId="8">
    <w:abstractNumId w:val="5"/>
  </w:num>
  <w:num w:numId="9">
    <w:abstractNumId w:val="1"/>
  </w:num>
  <w:num w:numId="10">
    <w:abstractNumId w:val="10"/>
  </w:num>
  <w:num w:numId="11">
    <w:abstractNumId w:val="2"/>
  </w:num>
  <w:num w:numId="12">
    <w:abstractNumId w:val="4"/>
  </w:num>
  <w:num w:numId="13">
    <w:abstractNumId w:val="3"/>
  </w:num>
  <w:num w:numId="14">
    <w:abstractNumId w:val="0"/>
  </w:num>
  <w:num w:numId="15">
    <w:abstractNumId w:val="11"/>
  </w:num>
  <w:num w:numId="16">
    <w:abstractNumId w:val="7"/>
  </w:num>
  <w:num w:numId="17">
    <w:abstractNumId w:val="1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fillcolor="none [3209]" stroke="f" strokecolor="none [3041]">
      <v:fill color="none [3209]"/>
      <v:stroke color="none [3041]" weight="3pt" on="f"/>
      <v:shadow type="perspective" color="none [1609]" opacity=".5" offset="1pt,3pt" offset2="-1pt,2pt"/>
      <o:colormru v:ext="edit" colors="#f93"/>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49"/>
    <w:rsid w:val="00015248"/>
    <w:rsid w:val="00025FFA"/>
    <w:rsid w:val="00030DBE"/>
    <w:rsid w:val="00035796"/>
    <w:rsid w:val="00063BD7"/>
    <w:rsid w:val="00085533"/>
    <w:rsid w:val="000A6E5D"/>
    <w:rsid w:val="000D01C5"/>
    <w:rsid w:val="000D380F"/>
    <w:rsid w:val="000F10E1"/>
    <w:rsid w:val="000F2BB8"/>
    <w:rsid w:val="00102042"/>
    <w:rsid w:val="00102561"/>
    <w:rsid w:val="001150F8"/>
    <w:rsid w:val="00125A69"/>
    <w:rsid w:val="00135D80"/>
    <w:rsid w:val="0014601C"/>
    <w:rsid w:val="00152A75"/>
    <w:rsid w:val="00154818"/>
    <w:rsid w:val="0017649A"/>
    <w:rsid w:val="001809A2"/>
    <w:rsid w:val="00191775"/>
    <w:rsid w:val="0019187F"/>
    <w:rsid w:val="00195917"/>
    <w:rsid w:val="001B374D"/>
    <w:rsid w:val="001B46C4"/>
    <w:rsid w:val="001D59BD"/>
    <w:rsid w:val="001F2A47"/>
    <w:rsid w:val="001F75F6"/>
    <w:rsid w:val="001F7E91"/>
    <w:rsid w:val="00267092"/>
    <w:rsid w:val="00290EE7"/>
    <w:rsid w:val="002971A7"/>
    <w:rsid w:val="002D6D0C"/>
    <w:rsid w:val="002F290E"/>
    <w:rsid w:val="002F7DE3"/>
    <w:rsid w:val="00311F95"/>
    <w:rsid w:val="00320DCE"/>
    <w:rsid w:val="0032556F"/>
    <w:rsid w:val="00332F3D"/>
    <w:rsid w:val="003404F0"/>
    <w:rsid w:val="00361E10"/>
    <w:rsid w:val="0038457C"/>
    <w:rsid w:val="00390650"/>
    <w:rsid w:val="003C5C5B"/>
    <w:rsid w:val="003D1A4D"/>
    <w:rsid w:val="003D5EDB"/>
    <w:rsid w:val="003E04D2"/>
    <w:rsid w:val="003E5806"/>
    <w:rsid w:val="00425369"/>
    <w:rsid w:val="0044708E"/>
    <w:rsid w:val="00480982"/>
    <w:rsid w:val="00483C15"/>
    <w:rsid w:val="004978B7"/>
    <w:rsid w:val="004A3C27"/>
    <w:rsid w:val="004A4D94"/>
    <w:rsid w:val="004A5DA9"/>
    <w:rsid w:val="004C431B"/>
    <w:rsid w:val="004C44E4"/>
    <w:rsid w:val="004D3813"/>
    <w:rsid w:val="004F6CC9"/>
    <w:rsid w:val="00516B9C"/>
    <w:rsid w:val="00532BCD"/>
    <w:rsid w:val="005334D2"/>
    <w:rsid w:val="00571627"/>
    <w:rsid w:val="00573D1D"/>
    <w:rsid w:val="00583A75"/>
    <w:rsid w:val="0059752C"/>
    <w:rsid w:val="005C6ACF"/>
    <w:rsid w:val="005C743D"/>
    <w:rsid w:val="005D1616"/>
    <w:rsid w:val="005D2179"/>
    <w:rsid w:val="005E17A5"/>
    <w:rsid w:val="005E5A10"/>
    <w:rsid w:val="00616B8D"/>
    <w:rsid w:val="00635A15"/>
    <w:rsid w:val="00665A8E"/>
    <w:rsid w:val="0067016F"/>
    <w:rsid w:val="00674BA4"/>
    <w:rsid w:val="006803D9"/>
    <w:rsid w:val="006812FE"/>
    <w:rsid w:val="006B2267"/>
    <w:rsid w:val="006C1728"/>
    <w:rsid w:val="006D246E"/>
    <w:rsid w:val="00732DEF"/>
    <w:rsid w:val="00750729"/>
    <w:rsid w:val="00755BE2"/>
    <w:rsid w:val="00772110"/>
    <w:rsid w:val="00777E63"/>
    <w:rsid w:val="007A2B5A"/>
    <w:rsid w:val="007A2BE7"/>
    <w:rsid w:val="007B7264"/>
    <w:rsid w:val="00815897"/>
    <w:rsid w:val="00824288"/>
    <w:rsid w:val="008B526F"/>
    <w:rsid w:val="008C2949"/>
    <w:rsid w:val="008D1676"/>
    <w:rsid w:val="008E3698"/>
    <w:rsid w:val="00922B60"/>
    <w:rsid w:val="00934306"/>
    <w:rsid w:val="009535BF"/>
    <w:rsid w:val="00960DAC"/>
    <w:rsid w:val="009756F9"/>
    <w:rsid w:val="00984C96"/>
    <w:rsid w:val="009859DF"/>
    <w:rsid w:val="009C1847"/>
    <w:rsid w:val="009E54B2"/>
    <w:rsid w:val="00A14D2D"/>
    <w:rsid w:val="00A259C2"/>
    <w:rsid w:val="00A45313"/>
    <w:rsid w:val="00A52870"/>
    <w:rsid w:val="00A712D3"/>
    <w:rsid w:val="00A71365"/>
    <w:rsid w:val="00A802EC"/>
    <w:rsid w:val="00A83713"/>
    <w:rsid w:val="00AB0B2F"/>
    <w:rsid w:val="00AD6472"/>
    <w:rsid w:val="00B1110C"/>
    <w:rsid w:val="00B17F70"/>
    <w:rsid w:val="00B6795E"/>
    <w:rsid w:val="00B72073"/>
    <w:rsid w:val="00B747FA"/>
    <w:rsid w:val="00B75B50"/>
    <w:rsid w:val="00B76AD3"/>
    <w:rsid w:val="00BC1A63"/>
    <w:rsid w:val="00BC2B4C"/>
    <w:rsid w:val="00BC2E2E"/>
    <w:rsid w:val="00BC3F5A"/>
    <w:rsid w:val="00BD36C6"/>
    <w:rsid w:val="00BD7AE0"/>
    <w:rsid w:val="00BE1B69"/>
    <w:rsid w:val="00C03534"/>
    <w:rsid w:val="00C15788"/>
    <w:rsid w:val="00C17646"/>
    <w:rsid w:val="00C27A7F"/>
    <w:rsid w:val="00C4645C"/>
    <w:rsid w:val="00C50FB8"/>
    <w:rsid w:val="00C548D1"/>
    <w:rsid w:val="00C70B1C"/>
    <w:rsid w:val="00C76192"/>
    <w:rsid w:val="00C80AFA"/>
    <w:rsid w:val="00C95A41"/>
    <w:rsid w:val="00CC0CBF"/>
    <w:rsid w:val="00CC4A8A"/>
    <w:rsid w:val="00CC7FE6"/>
    <w:rsid w:val="00D002F5"/>
    <w:rsid w:val="00D124C7"/>
    <w:rsid w:val="00D173DE"/>
    <w:rsid w:val="00D319FB"/>
    <w:rsid w:val="00D42D2E"/>
    <w:rsid w:val="00D55E08"/>
    <w:rsid w:val="00D75EE7"/>
    <w:rsid w:val="00D81B60"/>
    <w:rsid w:val="00DA07D9"/>
    <w:rsid w:val="00DB4AE4"/>
    <w:rsid w:val="00DB689A"/>
    <w:rsid w:val="00DC30E0"/>
    <w:rsid w:val="00DD0FA3"/>
    <w:rsid w:val="00DE6C3A"/>
    <w:rsid w:val="00E07532"/>
    <w:rsid w:val="00E07D0D"/>
    <w:rsid w:val="00E179BE"/>
    <w:rsid w:val="00E71847"/>
    <w:rsid w:val="00E71D4E"/>
    <w:rsid w:val="00E823D3"/>
    <w:rsid w:val="00E954CB"/>
    <w:rsid w:val="00EA0A95"/>
    <w:rsid w:val="00EB4898"/>
    <w:rsid w:val="00ED0F9D"/>
    <w:rsid w:val="00EF5F98"/>
    <w:rsid w:val="00F13F7A"/>
    <w:rsid w:val="00F32B6F"/>
    <w:rsid w:val="00F525B8"/>
    <w:rsid w:val="00F55449"/>
    <w:rsid w:val="00F70AED"/>
    <w:rsid w:val="00FB1CD9"/>
    <w:rsid w:val="00FB7234"/>
    <w:rsid w:val="00FC7931"/>
    <w:rsid w:val="00FE13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color="none [3209]" stroke="f" strokecolor="none [3041]">
      <v:fill color="none [3209]"/>
      <v:stroke color="none [3041]" weight="3pt" on="f"/>
      <v:shadow type="perspective" color="none [1609]" opacity=".5" offset="1pt,3pt" offset2="-1pt,2pt"/>
      <o:colormru v:ext="edit" colors="#f93"/>
    </o:shapedefaults>
    <o:shapelayout v:ext="edit">
      <o:idmap v:ext="edit" data="1"/>
    </o:shapelayout>
  </w:shapeDefaults>
  <w:decimalSymbol w:val="."/>
  <w:listSeparator w:val=","/>
  <w14:docId w14:val="17A51AFD"/>
  <w15:docId w15:val="{CB8EDD20-17A9-4077-A84E-3603CA80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95"/>
    <w:pPr>
      <w:spacing w:after="0" w:line="240" w:lineRule="auto"/>
    </w:pPr>
    <w:rPr>
      <w:rFonts w:ascii="Arial" w:eastAsia="Cambria" w:hAnsi="Arial" w:cs="Times New Roman"/>
      <w:sz w:val="20"/>
      <w:szCs w:val="24"/>
      <w:lang w:val="en-US"/>
    </w:rPr>
  </w:style>
  <w:style w:type="paragraph" w:styleId="Heading1">
    <w:name w:val="heading 1"/>
    <w:basedOn w:val="Normal"/>
    <w:next w:val="Normal"/>
    <w:link w:val="Heading1Char"/>
    <w:autoRedefine/>
    <w:uiPriority w:val="9"/>
    <w:qFormat/>
    <w:rsid w:val="00C27A7F"/>
    <w:pPr>
      <w:keepNext/>
      <w:keepLines/>
      <w:spacing w:after="60" w:line="276" w:lineRule="auto"/>
      <w:outlineLvl w:val="0"/>
    </w:pPr>
    <w:rPr>
      <w:rFonts w:ascii="HelveticaNeueLT Std" w:eastAsiaTheme="majorEastAsia" w:hAnsi="HelveticaNeueLT Std" w:cstheme="majorBidi"/>
      <w:b/>
      <w:bCs/>
      <w:color w:val="E36C0A" w:themeColor="accent6" w:themeShade="BF"/>
      <w:sz w:val="40"/>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C2949"/>
    <w:rPr>
      <w:rFonts w:ascii="Tahoma" w:hAnsi="Tahoma" w:cs="Tahoma"/>
      <w:sz w:val="16"/>
      <w:szCs w:val="16"/>
    </w:rPr>
  </w:style>
  <w:style w:type="character" w:customStyle="1" w:styleId="BalloonTextChar">
    <w:name w:val="Balloon Text Char"/>
    <w:basedOn w:val="DefaultParagraphFont"/>
    <w:uiPriority w:val="99"/>
    <w:semiHidden/>
    <w:rsid w:val="00CA5E6B"/>
    <w:rPr>
      <w:rFonts w:ascii="Lucida Grande" w:hAnsi="Lucida Grande"/>
      <w:sz w:val="18"/>
      <w:szCs w:val="18"/>
    </w:rPr>
  </w:style>
  <w:style w:type="character" w:customStyle="1" w:styleId="BalloonTextChar0">
    <w:name w:val="Balloon Text Char"/>
    <w:basedOn w:val="DefaultParagraphFont"/>
    <w:uiPriority w:val="99"/>
    <w:semiHidden/>
    <w:rsid w:val="00AD1980"/>
    <w:rPr>
      <w:rFonts w:ascii="Lucida Grande" w:hAnsi="Lucida Grande"/>
      <w:sz w:val="18"/>
      <w:szCs w:val="18"/>
    </w:rPr>
  </w:style>
  <w:style w:type="paragraph" w:styleId="Header">
    <w:name w:val="header"/>
    <w:basedOn w:val="Normal"/>
    <w:link w:val="HeaderChar"/>
    <w:uiPriority w:val="99"/>
    <w:unhideWhenUsed/>
    <w:rsid w:val="008C2949"/>
    <w:pPr>
      <w:tabs>
        <w:tab w:val="center" w:pos="4513"/>
        <w:tab w:val="right" w:pos="9026"/>
      </w:tabs>
    </w:pPr>
  </w:style>
  <w:style w:type="character" w:customStyle="1" w:styleId="HeaderChar">
    <w:name w:val="Header Char"/>
    <w:basedOn w:val="DefaultParagraphFont"/>
    <w:link w:val="Header"/>
    <w:uiPriority w:val="99"/>
    <w:rsid w:val="008C2949"/>
  </w:style>
  <w:style w:type="paragraph" w:styleId="Footer">
    <w:name w:val="footer"/>
    <w:basedOn w:val="Normal"/>
    <w:link w:val="FooterChar"/>
    <w:uiPriority w:val="99"/>
    <w:unhideWhenUsed/>
    <w:rsid w:val="008C2949"/>
    <w:pPr>
      <w:tabs>
        <w:tab w:val="center" w:pos="4513"/>
        <w:tab w:val="right" w:pos="9026"/>
      </w:tabs>
    </w:pPr>
  </w:style>
  <w:style w:type="character" w:customStyle="1" w:styleId="FooterChar">
    <w:name w:val="Footer Char"/>
    <w:basedOn w:val="DefaultParagraphFont"/>
    <w:link w:val="Footer"/>
    <w:uiPriority w:val="99"/>
    <w:rsid w:val="008C2949"/>
  </w:style>
  <w:style w:type="character" w:customStyle="1" w:styleId="BalloonTextChar1">
    <w:name w:val="Balloon Text Char1"/>
    <w:basedOn w:val="DefaultParagraphFont"/>
    <w:link w:val="BalloonText"/>
    <w:uiPriority w:val="99"/>
    <w:semiHidden/>
    <w:rsid w:val="008C2949"/>
    <w:rPr>
      <w:rFonts w:ascii="Tahoma" w:hAnsi="Tahoma" w:cs="Tahoma"/>
      <w:sz w:val="16"/>
      <w:szCs w:val="16"/>
    </w:rPr>
  </w:style>
  <w:style w:type="paragraph" w:customStyle="1" w:styleId="Heading-OrangeLarger">
    <w:name w:val="Heading - Orange Larger"/>
    <w:basedOn w:val="Normal"/>
    <w:uiPriority w:val="99"/>
    <w:qFormat/>
    <w:rsid w:val="0044708E"/>
    <w:pPr>
      <w:suppressAutoHyphens/>
      <w:autoSpaceDE w:val="0"/>
      <w:autoSpaceDN w:val="0"/>
      <w:adjustRightInd w:val="0"/>
      <w:spacing w:after="227" w:line="480" w:lineRule="atLeast"/>
      <w:jc w:val="both"/>
      <w:textAlignment w:val="center"/>
    </w:pPr>
    <w:rPr>
      <w:rFonts w:ascii="ITC Officina Sans Book" w:hAnsi="ITC Officina Sans Book" w:cs="ITC Officina Sans Book"/>
      <w:b/>
      <w:bCs/>
      <w:color w:val="E36F1E"/>
      <w:sz w:val="36"/>
      <w:szCs w:val="36"/>
    </w:rPr>
  </w:style>
  <w:style w:type="paragraph" w:customStyle="1" w:styleId="ParagraphStyle-3">
    <w:name w:val="Paragraph Style - 3"/>
    <w:basedOn w:val="Normal"/>
    <w:uiPriority w:val="99"/>
    <w:rsid w:val="0044708E"/>
    <w:pPr>
      <w:autoSpaceDE w:val="0"/>
      <w:autoSpaceDN w:val="0"/>
      <w:adjustRightInd w:val="0"/>
      <w:spacing w:line="320" w:lineRule="atLeast"/>
      <w:textAlignment w:val="center"/>
    </w:pPr>
    <w:rPr>
      <w:rFonts w:ascii="ITC Officina Sans Book" w:hAnsi="ITC Officina Sans Book" w:cs="ITC Officina Sans Book"/>
      <w:color w:val="000000"/>
      <w:szCs w:val="20"/>
      <w:lang w:val="en-GB"/>
    </w:rPr>
  </w:style>
  <w:style w:type="paragraph" w:customStyle="1" w:styleId="OrangeIntro">
    <w:name w:val="Orange Intro"/>
    <w:basedOn w:val="ParagraphStyle-3"/>
    <w:uiPriority w:val="99"/>
    <w:rsid w:val="0044708E"/>
    <w:rPr>
      <w:color w:val="E3761D"/>
      <w:sz w:val="24"/>
      <w:szCs w:val="24"/>
    </w:rPr>
  </w:style>
  <w:style w:type="paragraph" w:customStyle="1" w:styleId="Redquote-smallbold">
    <w:name w:val="Red quote - small bold"/>
    <w:basedOn w:val="ParagraphStyle-3"/>
    <w:uiPriority w:val="99"/>
    <w:rsid w:val="0044708E"/>
    <w:rPr>
      <w:b/>
      <w:bCs/>
      <w:color w:val="943634"/>
    </w:rPr>
  </w:style>
  <w:style w:type="paragraph" w:styleId="ListParagraph">
    <w:name w:val="List Paragraph"/>
    <w:basedOn w:val="Normal"/>
    <w:uiPriority w:val="34"/>
    <w:qFormat/>
    <w:rsid w:val="00CC0CBF"/>
    <w:pPr>
      <w:ind w:left="720"/>
      <w:contextualSpacing/>
    </w:pPr>
  </w:style>
  <w:style w:type="paragraph" w:styleId="EndnoteText">
    <w:name w:val="endnote text"/>
    <w:basedOn w:val="Normal"/>
    <w:link w:val="EndnoteTextChar"/>
    <w:uiPriority w:val="99"/>
    <w:unhideWhenUsed/>
    <w:rsid w:val="00CC0CBF"/>
    <w:rPr>
      <w:szCs w:val="20"/>
    </w:rPr>
  </w:style>
  <w:style w:type="character" w:customStyle="1" w:styleId="EndnoteTextChar">
    <w:name w:val="Endnote Text Char"/>
    <w:basedOn w:val="DefaultParagraphFont"/>
    <w:link w:val="EndnoteText"/>
    <w:uiPriority w:val="99"/>
    <w:rsid w:val="00CC0CBF"/>
    <w:rPr>
      <w:rFonts w:ascii="Cambria" w:eastAsia="Cambria" w:hAnsi="Cambria" w:cs="Times New Roman"/>
      <w:sz w:val="20"/>
      <w:szCs w:val="20"/>
      <w:lang w:val="en-US"/>
    </w:rPr>
  </w:style>
  <w:style w:type="character" w:styleId="EndnoteReference">
    <w:name w:val="endnote reference"/>
    <w:basedOn w:val="DefaultParagraphFont"/>
    <w:uiPriority w:val="99"/>
    <w:unhideWhenUsed/>
    <w:rsid w:val="00CC0CBF"/>
    <w:rPr>
      <w:vertAlign w:val="superscript"/>
    </w:rPr>
  </w:style>
  <w:style w:type="character" w:customStyle="1" w:styleId="Heading1Char">
    <w:name w:val="Heading 1 Char"/>
    <w:basedOn w:val="DefaultParagraphFont"/>
    <w:link w:val="Heading1"/>
    <w:uiPriority w:val="9"/>
    <w:rsid w:val="00C27A7F"/>
    <w:rPr>
      <w:rFonts w:ascii="HelveticaNeueLT Std" w:eastAsiaTheme="majorEastAsia" w:hAnsi="HelveticaNeueLT Std" w:cstheme="majorBidi"/>
      <w:b/>
      <w:bCs/>
      <w:color w:val="E36C0A" w:themeColor="accent6" w:themeShade="BF"/>
      <w:sz w:val="40"/>
      <w:szCs w:val="28"/>
    </w:rPr>
  </w:style>
  <w:style w:type="table" w:styleId="TableGrid">
    <w:name w:val="Table Grid"/>
    <w:basedOn w:val="TableNormal"/>
    <w:uiPriority w:val="59"/>
    <w:rsid w:val="00C03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743D"/>
    <w:rPr>
      <w:sz w:val="16"/>
      <w:szCs w:val="16"/>
    </w:rPr>
  </w:style>
  <w:style w:type="paragraph" w:styleId="CommentText">
    <w:name w:val="annotation text"/>
    <w:basedOn w:val="Normal"/>
    <w:link w:val="CommentTextChar"/>
    <w:uiPriority w:val="99"/>
    <w:semiHidden/>
    <w:unhideWhenUsed/>
    <w:rsid w:val="005C743D"/>
    <w:rPr>
      <w:szCs w:val="20"/>
    </w:rPr>
  </w:style>
  <w:style w:type="character" w:customStyle="1" w:styleId="CommentTextChar">
    <w:name w:val="Comment Text Char"/>
    <w:basedOn w:val="DefaultParagraphFont"/>
    <w:link w:val="CommentText"/>
    <w:uiPriority w:val="99"/>
    <w:semiHidden/>
    <w:rsid w:val="005C743D"/>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743D"/>
    <w:rPr>
      <w:b/>
      <w:bCs/>
    </w:rPr>
  </w:style>
  <w:style w:type="character" w:customStyle="1" w:styleId="CommentSubjectChar">
    <w:name w:val="Comment Subject Char"/>
    <w:basedOn w:val="CommentTextChar"/>
    <w:link w:val="CommentSubject"/>
    <w:uiPriority w:val="99"/>
    <w:semiHidden/>
    <w:rsid w:val="005C743D"/>
    <w:rPr>
      <w:rFonts w:ascii="Arial" w:eastAsia="Cambria" w:hAnsi="Arial" w:cs="Times New Roman"/>
      <w:b/>
      <w:bCs/>
      <w:sz w:val="20"/>
      <w:szCs w:val="20"/>
      <w:lang w:val="en-US"/>
    </w:rPr>
  </w:style>
  <w:style w:type="character" w:styleId="Hyperlink">
    <w:name w:val="Hyperlink"/>
    <w:basedOn w:val="DefaultParagraphFont"/>
    <w:uiPriority w:val="99"/>
    <w:unhideWhenUsed/>
    <w:rsid w:val="00AB0B2F"/>
    <w:rPr>
      <w:color w:val="0000FF" w:themeColor="hyperlink"/>
      <w:u w:val="single"/>
    </w:rPr>
  </w:style>
  <w:style w:type="paragraph" w:styleId="NormalWeb">
    <w:name w:val="Normal (Web)"/>
    <w:basedOn w:val="Normal"/>
    <w:uiPriority w:val="99"/>
    <w:rsid w:val="001F7E91"/>
    <w:pPr>
      <w:spacing w:beforeLines="1" w:afterLines="1"/>
    </w:pPr>
    <w:rPr>
      <w:rFonts w:ascii="Times" w:eastAsiaTheme="minorHAnsi" w:hAnsi="Times"/>
      <w:szCs w:val="20"/>
      <w:lang w:val="en-AU"/>
    </w:rPr>
  </w:style>
  <w:style w:type="paragraph" w:styleId="FootnoteText">
    <w:name w:val="footnote text"/>
    <w:basedOn w:val="Normal"/>
    <w:link w:val="FootnoteTextChar"/>
    <w:semiHidden/>
    <w:unhideWhenUsed/>
    <w:rsid w:val="002971A7"/>
    <w:rPr>
      <w:szCs w:val="20"/>
    </w:rPr>
  </w:style>
  <w:style w:type="character" w:customStyle="1" w:styleId="FootnoteTextChar">
    <w:name w:val="Footnote Text Char"/>
    <w:basedOn w:val="DefaultParagraphFont"/>
    <w:link w:val="FootnoteText"/>
    <w:semiHidden/>
    <w:rsid w:val="002971A7"/>
    <w:rPr>
      <w:rFonts w:ascii="Arial" w:eastAsia="Cambria" w:hAnsi="Arial" w:cs="Times New Roman"/>
      <w:sz w:val="20"/>
      <w:szCs w:val="20"/>
      <w:lang w:val="en-US"/>
    </w:rPr>
  </w:style>
  <w:style w:type="character" w:styleId="FootnoteReference">
    <w:name w:val="footnote reference"/>
    <w:basedOn w:val="DefaultParagraphFont"/>
    <w:semiHidden/>
    <w:unhideWhenUsed/>
    <w:rsid w:val="002971A7"/>
    <w:rPr>
      <w:vertAlign w:val="superscript"/>
    </w:rPr>
  </w:style>
  <w:style w:type="character" w:customStyle="1" w:styleId="apple-converted-space">
    <w:name w:val="apple-converted-space"/>
    <w:basedOn w:val="DefaultParagraphFont"/>
    <w:rsid w:val="00DB689A"/>
  </w:style>
  <w:style w:type="paragraph" w:styleId="Revision">
    <w:name w:val="Revision"/>
    <w:hidden/>
    <w:semiHidden/>
    <w:rsid w:val="00777E63"/>
    <w:pPr>
      <w:spacing w:after="0" w:line="240" w:lineRule="auto"/>
    </w:pPr>
    <w:rPr>
      <w:rFonts w:ascii="Arial" w:eastAsia="Cambria"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pacificpolicy.org/files/2013/04/Solomon-Islands-TRC-Final-Report-Vol-3.pdf" TargetMode="External"/><Relationship Id="rId3" Type="http://schemas.openxmlformats.org/officeDocument/2006/relationships/hyperlink" Target="http://www.statistics.gov.sb/images/SolomonFiles/Survey_Statistics/DHS_2015/Final-Report_SI-Demographic-and-Health-Survey-2015.pdf" TargetMode="External"/><Relationship Id="rId7" Type="http://schemas.openxmlformats.org/officeDocument/2006/relationships/hyperlink" Target="http://www.statistics.gov.sb/" TargetMode="External"/><Relationship Id="rId2" Type="http://schemas.openxmlformats.org/officeDocument/2006/relationships/hyperlink" Target="http://www.mof.gov.sb/Libraries/Statistics/2011_06_-_Report_on_2009_Population_Housing_Census.sflb.ashx" TargetMode="External"/><Relationship Id="rId1" Type="http://schemas.openxmlformats.org/officeDocument/2006/relationships/hyperlink" Target="http://www.mof.gov.sb/Libraries/Statistics/2011_06_-_Report_on_2009_Population_Housing_Census.sflb.ashx" TargetMode="External"/><Relationship Id="rId6" Type="http://schemas.openxmlformats.org/officeDocument/2006/relationships/hyperlink" Target="http://www.statistics.gov.sb/" TargetMode="External"/><Relationship Id="rId11" Type="http://schemas.openxmlformats.org/officeDocument/2006/relationships/hyperlink" Target="http://www.preventionweb.net/english/countries/oceania/slb/" TargetMode="External"/><Relationship Id="rId5" Type="http://schemas.openxmlformats.org/officeDocument/2006/relationships/hyperlink" Target="http://www.statistics.gov.sb/images/SolomonFiles/Social-and-Demography-Statistics/SI_Report_on_Poverty_2012-13_HIES_FINAL/Solomon_Islands_Report_on_Poverty_2012-13_HIES_FINAL.pdf" TargetMode="External"/><Relationship Id="rId10" Type="http://schemas.openxmlformats.org/officeDocument/2006/relationships/hyperlink" Target="http://www.equalrightstrust.org/ertdocumentbank/SI%20report.pdf" TargetMode="External"/><Relationship Id="rId4" Type="http://schemas.openxmlformats.org/officeDocument/2006/relationships/hyperlink" Target="http://www.statistics.gov.sb/images/SolomonFiles/Survey_Statistics/DHS_2015/Final-Report_SI-Demographic-and-Health-Survey-2015.pdf" TargetMode="External"/><Relationship Id="rId9" Type="http://schemas.openxmlformats.org/officeDocument/2006/relationships/hyperlink" Target="http://www.pacwip.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15A768-BEE4-4427-8CDA-BE8DD44F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ingridb</dc:creator>
  <cp:lastModifiedBy>Dongen, Dientje van</cp:lastModifiedBy>
  <cp:revision>7</cp:revision>
  <cp:lastPrinted>2017-08-22T03:21:00Z</cp:lastPrinted>
  <dcterms:created xsi:type="dcterms:W3CDTF">2017-06-30T02:21:00Z</dcterms:created>
  <dcterms:modified xsi:type="dcterms:W3CDTF">2017-08-22T03:21:00Z</dcterms:modified>
</cp:coreProperties>
</file>