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88" w:rsidRDefault="00C13688" w:rsidP="00CF7201">
      <w:pPr>
        <w:rPr>
          <w:rFonts w:ascii="Arial Black" w:hAnsi="Arial Black" w:cs="Arial"/>
          <w:b/>
          <w:color w:val="ED7D31"/>
          <w:sz w:val="44"/>
          <w:szCs w:val="44"/>
        </w:rPr>
      </w:pPr>
      <w:bookmarkStart w:id="0" w:name="_GoBack"/>
      <w:bookmarkEnd w:id="0"/>
    </w:p>
    <w:p w:rsidR="00C13688" w:rsidRDefault="00C13688" w:rsidP="00CF7201">
      <w:pPr>
        <w:rPr>
          <w:rFonts w:ascii="Arial Black" w:hAnsi="Arial Black" w:cs="Arial"/>
          <w:b/>
          <w:color w:val="ED7D31"/>
          <w:sz w:val="44"/>
          <w:szCs w:val="44"/>
        </w:rPr>
      </w:pPr>
    </w:p>
    <w:p w:rsidR="00C13688" w:rsidRDefault="00C13688" w:rsidP="00CF7201">
      <w:pPr>
        <w:rPr>
          <w:rFonts w:ascii="Arial Black" w:hAnsi="Arial Black" w:cs="Arial"/>
          <w:b/>
          <w:color w:val="ED7D31"/>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74"/>
      </w:tblGrid>
      <w:tr w:rsidR="0048081C" w:rsidTr="0048081C">
        <w:tc>
          <w:tcPr>
            <w:tcW w:w="3794" w:type="dxa"/>
          </w:tcPr>
          <w:p w:rsidR="00C13688" w:rsidRPr="00C13688" w:rsidRDefault="00C13688" w:rsidP="00C13688">
            <w:pPr>
              <w:rPr>
                <w:rFonts w:ascii="Arial" w:hAnsi="Arial" w:cs="Arial"/>
                <w:b/>
                <w:color w:val="FFFFFF" w:themeColor="background1"/>
                <w:sz w:val="72"/>
                <w:szCs w:val="72"/>
              </w:rPr>
            </w:pPr>
            <w:r w:rsidRPr="00C13688">
              <w:rPr>
                <w:rFonts w:ascii="Arial" w:hAnsi="Arial" w:cs="Arial"/>
                <w:b/>
                <w:color w:val="FFFFFF" w:themeColor="background1"/>
                <w:sz w:val="72"/>
                <w:szCs w:val="72"/>
              </w:rPr>
              <w:t>Haiti</w:t>
            </w:r>
          </w:p>
          <w:p w:rsidR="00C13688" w:rsidRDefault="00C13688" w:rsidP="00C13688">
            <w:pPr>
              <w:rPr>
                <w:rFonts w:ascii="Arial Black" w:hAnsi="Arial Black" w:cs="Arial"/>
                <w:b/>
                <w:color w:val="ED7D31"/>
                <w:sz w:val="44"/>
                <w:szCs w:val="44"/>
              </w:rPr>
            </w:pPr>
          </w:p>
        </w:tc>
        <w:tc>
          <w:tcPr>
            <w:tcW w:w="6174" w:type="dxa"/>
          </w:tcPr>
          <w:p w:rsidR="0048081C" w:rsidRPr="00A46400" w:rsidRDefault="00C13688" w:rsidP="0048081C">
            <w:pPr>
              <w:ind w:left="-1077"/>
              <w:rPr>
                <w:rFonts w:ascii="Calibri" w:hAnsi="Calibri" w:cs="Arial"/>
                <w:b/>
                <w:sz w:val="22"/>
                <w:szCs w:val="22"/>
              </w:rPr>
            </w:pPr>
            <w:r w:rsidRPr="00C13688">
              <w:rPr>
                <w:rFonts w:ascii="Arial" w:hAnsi="Arial" w:cs="Arial"/>
                <w:b/>
                <w:color w:val="FFFFFF" w:themeColor="background1"/>
                <w:sz w:val="18"/>
                <w:szCs w:val="18"/>
              </w:rPr>
              <w:t xml:space="preserve">Population </w:t>
            </w:r>
          </w:p>
          <w:p w:rsidR="0048081C" w:rsidRPr="00C13688" w:rsidRDefault="0048081C" w:rsidP="00C13688">
            <w:pPr>
              <w:numPr>
                <w:ilvl w:val="0"/>
                <w:numId w:val="21"/>
              </w:numPr>
              <w:rPr>
                <w:rFonts w:ascii="Arial" w:hAnsi="Arial" w:cs="Arial"/>
                <w:b/>
                <w:color w:val="FFFFFF" w:themeColor="background1"/>
                <w:sz w:val="18"/>
                <w:szCs w:val="18"/>
              </w:rPr>
            </w:pPr>
            <w:r w:rsidRPr="0048081C">
              <w:rPr>
                <w:rFonts w:ascii="Arial" w:hAnsi="Arial" w:cs="Arial"/>
                <w:b/>
                <w:color w:val="FFFFFF"/>
                <w:sz w:val="18"/>
                <w:szCs w:val="18"/>
              </w:rPr>
              <w:t>Sex Disaggregation: 50.4% female and 49.6% male</w:t>
            </w:r>
            <w:r w:rsidRPr="0048081C">
              <w:rPr>
                <w:rStyle w:val="EndnoteReference"/>
                <w:rFonts w:ascii="Arial" w:eastAsia="Cambria" w:hAnsi="Arial"/>
                <w:b/>
                <w:color w:val="FFFFFF" w:themeColor="background1"/>
                <w:sz w:val="20"/>
                <w:lang w:eastAsia="en-AU"/>
              </w:rPr>
              <w:endnoteReference w:id="1"/>
            </w:r>
          </w:p>
          <w:p w:rsidR="0048081C" w:rsidRPr="00C13688" w:rsidRDefault="0048081C" w:rsidP="00C13688">
            <w:pPr>
              <w:numPr>
                <w:ilvl w:val="0"/>
                <w:numId w:val="21"/>
              </w:numPr>
              <w:rPr>
                <w:rFonts w:ascii="Arial" w:hAnsi="Arial" w:cs="Arial"/>
                <w:b/>
                <w:color w:val="FFFFFF" w:themeColor="background1"/>
                <w:sz w:val="18"/>
                <w:szCs w:val="18"/>
              </w:rPr>
            </w:pPr>
            <w:r>
              <w:rPr>
                <w:rFonts w:ascii="Arial" w:hAnsi="Arial" w:cs="Arial"/>
                <w:b/>
                <w:color w:val="FFFFFF" w:themeColor="background1"/>
                <w:sz w:val="18"/>
                <w:szCs w:val="18"/>
              </w:rPr>
              <w:t xml:space="preserve">Population </w:t>
            </w:r>
            <w:r w:rsidRPr="00C13688">
              <w:rPr>
                <w:rFonts w:ascii="Arial" w:hAnsi="Arial" w:cs="Arial"/>
                <w:b/>
                <w:color w:val="FFFFFF" w:themeColor="background1"/>
                <w:sz w:val="18"/>
                <w:szCs w:val="18"/>
              </w:rPr>
              <w:t>Age Disaggregation</w:t>
            </w:r>
            <w:r>
              <w:rPr>
                <w:rFonts w:ascii="Arial" w:hAnsi="Arial" w:cs="Arial"/>
                <w:b/>
                <w:color w:val="FFFFFF" w:themeColor="background1"/>
                <w:sz w:val="18"/>
                <w:szCs w:val="18"/>
              </w:rPr>
              <w:t>:</w:t>
            </w:r>
            <w:r w:rsidRPr="00C13688">
              <w:rPr>
                <w:rFonts w:ascii="Arial" w:hAnsi="Arial" w:cs="Arial"/>
                <w:b/>
                <w:color w:val="FFFFFF" w:themeColor="background1"/>
                <w:sz w:val="18"/>
                <w:szCs w:val="18"/>
              </w:rPr>
              <w:t xml:space="preserve"> 35.9% Under 15yrs, 60.1% between 15-64yrs, 3.9% over 65yrs</w:t>
            </w:r>
          </w:p>
          <w:p w:rsidR="0048081C" w:rsidRPr="00C13688" w:rsidRDefault="0048081C" w:rsidP="00C13688">
            <w:pPr>
              <w:numPr>
                <w:ilvl w:val="0"/>
                <w:numId w:val="21"/>
              </w:numPr>
              <w:rPr>
                <w:rFonts w:ascii="Arial" w:hAnsi="Arial" w:cs="Arial"/>
                <w:b/>
                <w:color w:val="FFFFFF" w:themeColor="background1"/>
                <w:sz w:val="18"/>
                <w:szCs w:val="18"/>
              </w:rPr>
            </w:pPr>
            <w:r w:rsidRPr="00C13688">
              <w:rPr>
                <w:rFonts w:ascii="Arial" w:hAnsi="Arial" w:cs="Arial"/>
                <w:b/>
                <w:color w:val="FFFFFF" w:themeColor="background1"/>
                <w:sz w:val="18"/>
                <w:szCs w:val="18"/>
              </w:rPr>
              <w:t>IDP Households – 62,560</w:t>
            </w:r>
            <w:r w:rsidRPr="00C13688">
              <w:rPr>
                <w:rStyle w:val="EndnoteReference"/>
                <w:rFonts w:ascii="Arial" w:hAnsi="Arial" w:cs="Arial"/>
                <w:b/>
                <w:color w:val="FFFFFF" w:themeColor="background1"/>
                <w:sz w:val="18"/>
                <w:szCs w:val="18"/>
              </w:rPr>
              <w:endnoteReference w:id="2"/>
            </w:r>
          </w:p>
          <w:p w:rsidR="0048081C" w:rsidRPr="00C13688" w:rsidRDefault="0048081C" w:rsidP="00C13688">
            <w:pPr>
              <w:numPr>
                <w:ilvl w:val="0"/>
                <w:numId w:val="21"/>
              </w:numPr>
              <w:rPr>
                <w:rFonts w:ascii="Arial" w:hAnsi="Arial" w:cs="Arial"/>
                <w:b/>
                <w:color w:val="FFFFFF" w:themeColor="background1"/>
                <w:sz w:val="18"/>
                <w:szCs w:val="18"/>
              </w:rPr>
            </w:pPr>
            <w:r w:rsidRPr="00C13688">
              <w:rPr>
                <w:rFonts w:ascii="Arial" w:hAnsi="Arial" w:cs="Arial"/>
                <w:b/>
                <w:color w:val="FFFFFF" w:themeColor="background1"/>
                <w:sz w:val="18"/>
                <w:szCs w:val="18"/>
              </w:rPr>
              <w:t>Female-headed households – 42%</w:t>
            </w:r>
            <w:r w:rsidRPr="00C13688">
              <w:rPr>
                <w:rStyle w:val="EndnoteReference"/>
                <w:rFonts w:ascii="Arial" w:hAnsi="Arial" w:cs="Arial"/>
                <w:b/>
                <w:color w:val="FFFFFF" w:themeColor="background1"/>
                <w:sz w:val="18"/>
                <w:szCs w:val="18"/>
              </w:rPr>
              <w:endnoteReference w:id="3"/>
            </w:r>
          </w:p>
          <w:p w:rsidR="0048081C" w:rsidRPr="00C13688" w:rsidRDefault="0048081C" w:rsidP="00C13688">
            <w:pPr>
              <w:numPr>
                <w:ilvl w:val="0"/>
                <w:numId w:val="21"/>
              </w:numPr>
              <w:rPr>
                <w:rFonts w:ascii="Arial" w:hAnsi="Arial" w:cs="Arial"/>
                <w:b/>
                <w:color w:val="FFFFFF" w:themeColor="background1"/>
                <w:sz w:val="18"/>
                <w:szCs w:val="18"/>
              </w:rPr>
            </w:pPr>
            <w:r w:rsidRPr="00C13688">
              <w:rPr>
                <w:rFonts w:ascii="Arial" w:hAnsi="Arial" w:cs="Arial"/>
                <w:b/>
                <w:color w:val="FFFFFF" w:themeColor="background1"/>
                <w:sz w:val="18"/>
                <w:szCs w:val="18"/>
              </w:rPr>
              <w:t>Literacy rates – Male (15-24yrs) – 74.4%, Female (15-24yrs) – 70.5%</w:t>
            </w:r>
            <w:r w:rsidRPr="00C13688">
              <w:rPr>
                <w:rStyle w:val="EndnoteReference"/>
                <w:rFonts w:ascii="Arial" w:hAnsi="Arial" w:cs="Arial"/>
                <w:b/>
                <w:color w:val="FFFFFF" w:themeColor="background1"/>
                <w:sz w:val="18"/>
                <w:szCs w:val="18"/>
              </w:rPr>
              <w:endnoteReference w:id="4"/>
            </w:r>
          </w:p>
          <w:p w:rsidR="0048081C" w:rsidRPr="00C13688" w:rsidRDefault="0048081C" w:rsidP="00C13688">
            <w:pPr>
              <w:numPr>
                <w:ilvl w:val="0"/>
                <w:numId w:val="21"/>
              </w:numPr>
              <w:rPr>
                <w:rFonts w:ascii="Arial" w:hAnsi="Arial" w:cs="Arial"/>
                <w:b/>
                <w:color w:val="FFFFFF" w:themeColor="background1"/>
                <w:sz w:val="18"/>
                <w:szCs w:val="18"/>
              </w:rPr>
            </w:pPr>
            <w:r w:rsidRPr="00C13688">
              <w:rPr>
                <w:rFonts w:ascii="Arial" w:hAnsi="Arial" w:cs="Arial"/>
                <w:b/>
                <w:color w:val="FFFFFF" w:themeColor="background1"/>
                <w:sz w:val="18"/>
                <w:szCs w:val="18"/>
              </w:rPr>
              <w:t>Infant Mortality Rates – 55 per 1000 live births</w:t>
            </w:r>
            <w:r w:rsidRPr="00C13688">
              <w:rPr>
                <w:rStyle w:val="EndnoteReference"/>
                <w:rFonts w:ascii="Arial" w:hAnsi="Arial" w:cs="Arial"/>
                <w:b/>
                <w:color w:val="FFFFFF" w:themeColor="background1"/>
                <w:sz w:val="18"/>
                <w:szCs w:val="18"/>
              </w:rPr>
              <w:endnoteReference w:id="5"/>
            </w:r>
          </w:p>
          <w:p w:rsidR="0048081C" w:rsidRDefault="0048081C" w:rsidP="0048081C">
            <w:pPr>
              <w:numPr>
                <w:ilvl w:val="0"/>
                <w:numId w:val="21"/>
              </w:numPr>
              <w:rPr>
                <w:rFonts w:ascii="Arial" w:hAnsi="Arial" w:cs="Arial"/>
                <w:b/>
                <w:color w:val="FFFFFF" w:themeColor="background1"/>
                <w:sz w:val="18"/>
                <w:szCs w:val="18"/>
              </w:rPr>
            </w:pPr>
            <w:r w:rsidRPr="00C13688">
              <w:rPr>
                <w:rFonts w:ascii="Arial" w:hAnsi="Arial" w:cs="Arial"/>
                <w:b/>
                <w:color w:val="FFFFFF" w:themeColor="background1"/>
                <w:sz w:val="18"/>
                <w:szCs w:val="18"/>
              </w:rPr>
              <w:t>Maternal Mortality Rates – 380 per 100,000 live births</w:t>
            </w:r>
            <w:r w:rsidRPr="00C13688">
              <w:rPr>
                <w:rStyle w:val="EndnoteReference"/>
                <w:rFonts w:ascii="Arial" w:hAnsi="Arial" w:cs="Arial"/>
                <w:b/>
                <w:color w:val="FFFFFF" w:themeColor="background1"/>
                <w:sz w:val="18"/>
                <w:szCs w:val="18"/>
              </w:rPr>
              <w:endnoteReference w:id="6"/>
            </w:r>
          </w:p>
          <w:p w:rsidR="0048081C" w:rsidRPr="0048081C" w:rsidRDefault="0048081C" w:rsidP="0048081C">
            <w:pPr>
              <w:numPr>
                <w:ilvl w:val="0"/>
                <w:numId w:val="21"/>
              </w:numPr>
              <w:rPr>
                <w:rFonts w:ascii="Arial" w:hAnsi="Arial" w:cs="Arial"/>
                <w:b/>
                <w:color w:val="FFFFFF" w:themeColor="background1"/>
                <w:sz w:val="18"/>
                <w:szCs w:val="18"/>
              </w:rPr>
            </w:pPr>
            <w:r w:rsidRPr="0048081C">
              <w:rPr>
                <w:rFonts w:ascii="Arial" w:hAnsi="Arial" w:cs="Arial"/>
                <w:b/>
                <w:color w:val="FFFFFF" w:themeColor="background1"/>
                <w:sz w:val="18"/>
                <w:szCs w:val="18"/>
              </w:rPr>
              <w:t>Child Marriage – 3% girls married by 15yrs, 18% girls married by 18yrs</w:t>
            </w:r>
            <w:r w:rsidRPr="00C13688">
              <w:rPr>
                <w:rStyle w:val="EndnoteReference"/>
                <w:rFonts w:ascii="Arial" w:hAnsi="Arial" w:cs="Arial"/>
                <w:b/>
                <w:color w:val="FFFFFF" w:themeColor="background1"/>
                <w:sz w:val="18"/>
                <w:szCs w:val="18"/>
              </w:rPr>
              <w:endnoteReference w:id="7"/>
            </w:r>
          </w:p>
        </w:tc>
      </w:tr>
    </w:tbl>
    <w:p w:rsidR="0048081C" w:rsidRPr="008E5243" w:rsidRDefault="0048081C" w:rsidP="00C13688">
      <w:pPr>
        <w:rPr>
          <w:rFonts w:ascii="Calibri" w:hAnsi="Calibri"/>
          <w:sz w:val="16"/>
          <w:szCs w:val="16"/>
        </w:rPr>
      </w:pPr>
      <w:r>
        <w:rPr>
          <w:rFonts w:ascii="Arial Black" w:hAnsi="Arial Black" w:cs="Arial"/>
          <w:b/>
          <w:color w:val="ED7D31"/>
          <w:sz w:val="48"/>
          <w:szCs w:val="48"/>
        </w:rPr>
        <w:tab/>
      </w:r>
    </w:p>
    <w:p w:rsidR="0048081C" w:rsidRPr="00F60C8F" w:rsidRDefault="0048081C" w:rsidP="0048081C">
      <w:pPr>
        <w:pStyle w:val="Heading1"/>
        <w:framePr w:hSpace="0" w:wrap="auto" w:vAnchor="margin" w:hAnchor="text" w:yAlign="inline"/>
      </w:pPr>
      <w:r>
        <w:t>Gender in Brief</w:t>
      </w:r>
    </w:p>
    <w:p w:rsidR="0048081C" w:rsidRPr="002D392B" w:rsidRDefault="0048081C" w:rsidP="001C1557">
      <w:pPr>
        <w:rPr>
          <w:rFonts w:ascii="Calibri" w:hAnsi="Calibri" w:cs="Arial"/>
          <w:b/>
          <w:sz w:val="20"/>
          <w:szCs w:val="20"/>
        </w:rPr>
      </w:pPr>
      <w:r w:rsidRPr="002D392B">
        <w:rPr>
          <w:rFonts w:ascii="Calibri" w:hAnsi="Calibri" w:cs="Arial"/>
          <w:b/>
          <w:sz w:val="20"/>
          <w:szCs w:val="20"/>
        </w:rPr>
        <w:t xml:space="preserve">Gender roles and responsibilities </w:t>
      </w:r>
    </w:p>
    <w:p w:rsidR="0048081C" w:rsidRPr="002D392B" w:rsidRDefault="0048081C" w:rsidP="001C1557">
      <w:pPr>
        <w:rPr>
          <w:rFonts w:ascii="Calibri" w:hAnsi="Calibri" w:cs="Arial"/>
          <w:sz w:val="20"/>
          <w:szCs w:val="20"/>
        </w:rPr>
      </w:pPr>
      <w:r w:rsidRPr="002D392B">
        <w:rPr>
          <w:rFonts w:ascii="Calibri" w:hAnsi="Calibri" w:cs="Arial"/>
          <w:sz w:val="20"/>
          <w:szCs w:val="20"/>
        </w:rPr>
        <w:t>Haitian society is largely patriarchal society</w:t>
      </w:r>
      <w:r>
        <w:rPr>
          <w:rFonts w:ascii="Calibri" w:hAnsi="Calibri" w:cs="Arial"/>
          <w:sz w:val="20"/>
          <w:szCs w:val="20"/>
        </w:rPr>
        <w:t xml:space="preserve"> with low representation of women in decision-making roles</w:t>
      </w:r>
      <w:r w:rsidRPr="002D392B">
        <w:rPr>
          <w:rFonts w:ascii="Calibri" w:hAnsi="Calibri" w:cs="Arial"/>
          <w:sz w:val="20"/>
          <w:szCs w:val="20"/>
        </w:rPr>
        <w:t>. Even before the 2010 earthquake, the Inter-American Commission on Human Rights reported, “forms of discrimination against women have been a fixture in the history of Haiti, both in times of peace and in times of unrest and violence.”</w:t>
      </w:r>
      <w:r w:rsidRPr="002D392B">
        <w:rPr>
          <w:rStyle w:val="EndnoteReference"/>
          <w:rFonts w:ascii="Calibri" w:hAnsi="Calibri" w:cs="Arial"/>
          <w:sz w:val="20"/>
          <w:szCs w:val="20"/>
        </w:rPr>
        <w:endnoteReference w:id="8"/>
      </w:r>
      <w:r w:rsidRPr="002D392B">
        <w:rPr>
          <w:rFonts w:ascii="Calibri" w:hAnsi="Calibri" w:cs="Arial"/>
          <w:sz w:val="20"/>
          <w:szCs w:val="20"/>
        </w:rPr>
        <w:t xml:space="preserve"> </w:t>
      </w:r>
      <w:r>
        <w:rPr>
          <w:rFonts w:ascii="Calibri" w:hAnsi="Calibri" w:cs="Arial"/>
          <w:sz w:val="20"/>
          <w:szCs w:val="20"/>
        </w:rPr>
        <w:t>It has been reported that gender-based exclusion, cultural and legal discrimination and gender-based violence (GBV) have been long-term problems in Haiti and even though women often serve as heads of households and have relative independence, they are generally considered socially inferior.</w:t>
      </w:r>
      <w:r>
        <w:rPr>
          <w:rStyle w:val="EndnoteReference"/>
          <w:rFonts w:ascii="Calibri" w:hAnsi="Calibri" w:cs="Arial"/>
          <w:sz w:val="20"/>
          <w:szCs w:val="20"/>
        </w:rPr>
        <w:endnoteReference w:id="9"/>
      </w:r>
      <w:r w:rsidR="008B4A64">
        <w:rPr>
          <w:rFonts w:ascii="Calibri" w:hAnsi="Calibri" w:cs="Arial"/>
          <w:sz w:val="20"/>
          <w:szCs w:val="20"/>
        </w:rPr>
        <w:t xml:space="preserve"> </w:t>
      </w:r>
      <w:r>
        <w:rPr>
          <w:rFonts w:ascii="Calibri" w:hAnsi="Calibri" w:cs="Arial"/>
          <w:sz w:val="20"/>
          <w:szCs w:val="20"/>
        </w:rPr>
        <w:t xml:space="preserve">The rise in female headed households could be attributed partly to men leaving Haiti after the 2010 earthquake for jobs in the Dominican Republic. However at the end of 2015 many men were forced to return to Haiti due to the </w:t>
      </w:r>
      <w:r w:rsidR="008B4A64">
        <w:rPr>
          <w:rFonts w:ascii="Calibri" w:hAnsi="Calibri" w:cs="Arial"/>
          <w:sz w:val="20"/>
          <w:szCs w:val="20"/>
        </w:rPr>
        <w:t xml:space="preserve">Dominican Republic’s </w:t>
      </w:r>
      <w:r>
        <w:rPr>
          <w:rFonts w:ascii="Calibri" w:hAnsi="Calibri" w:cs="Arial"/>
          <w:sz w:val="20"/>
          <w:szCs w:val="20"/>
        </w:rPr>
        <w:t xml:space="preserve">government’s crackdown on illegal immigrants and tensions with host </w:t>
      </w:r>
      <w:proofErr w:type="gramStart"/>
      <w:r>
        <w:rPr>
          <w:rFonts w:ascii="Calibri" w:hAnsi="Calibri" w:cs="Arial"/>
          <w:sz w:val="20"/>
          <w:szCs w:val="20"/>
        </w:rPr>
        <w:t>communities</w:t>
      </w:r>
      <w:proofErr w:type="gramEnd"/>
      <w:r w:rsidR="008B4A64">
        <w:rPr>
          <w:rFonts w:ascii="Calibri" w:hAnsi="Calibri" w:cs="Arial"/>
          <w:sz w:val="20"/>
          <w:szCs w:val="20"/>
        </w:rPr>
        <w:t>.</w:t>
      </w:r>
      <w:r>
        <w:rPr>
          <w:rStyle w:val="EndnoteReference"/>
          <w:rFonts w:ascii="Calibri" w:hAnsi="Calibri" w:cs="Arial"/>
          <w:sz w:val="20"/>
          <w:szCs w:val="20"/>
        </w:rPr>
        <w:endnoteReference w:id="10"/>
      </w:r>
      <w:r>
        <w:rPr>
          <w:rFonts w:ascii="Calibri" w:hAnsi="Calibri" w:cs="Arial"/>
          <w:sz w:val="20"/>
          <w:szCs w:val="20"/>
        </w:rPr>
        <w:t>. The earthquake in 2010</w:t>
      </w:r>
      <w:r w:rsidRPr="002D392B">
        <w:rPr>
          <w:rFonts w:ascii="Calibri" w:hAnsi="Calibri" w:cs="Arial"/>
          <w:sz w:val="20"/>
          <w:szCs w:val="20"/>
        </w:rPr>
        <w:t xml:space="preserve"> led to </w:t>
      </w:r>
      <w:r w:rsidR="008B4A64">
        <w:rPr>
          <w:rFonts w:ascii="Calibri" w:hAnsi="Calibri" w:cs="Arial"/>
          <w:sz w:val="20"/>
          <w:szCs w:val="20"/>
        </w:rPr>
        <w:t xml:space="preserve">increased </w:t>
      </w:r>
      <w:r w:rsidRPr="002D392B">
        <w:rPr>
          <w:rFonts w:ascii="Calibri" w:hAnsi="Calibri" w:cs="Arial"/>
          <w:sz w:val="20"/>
          <w:szCs w:val="20"/>
        </w:rPr>
        <w:t xml:space="preserve">chronic poverty and crime which, along with political instability, has exacerbated inequalities and led to a high prevalence of </w:t>
      </w:r>
      <w:r>
        <w:rPr>
          <w:rFonts w:ascii="Calibri" w:hAnsi="Calibri" w:cs="Arial"/>
          <w:sz w:val="20"/>
          <w:szCs w:val="20"/>
        </w:rPr>
        <w:t>GBV</w:t>
      </w:r>
      <w:r w:rsidRPr="002D392B">
        <w:rPr>
          <w:rFonts w:ascii="Calibri" w:hAnsi="Calibri" w:cs="Arial"/>
          <w:sz w:val="20"/>
          <w:szCs w:val="20"/>
        </w:rPr>
        <w:t xml:space="preserve"> and discrimination against women and girls.</w:t>
      </w:r>
      <w:r>
        <w:rPr>
          <w:rFonts w:ascii="Calibri" w:hAnsi="Calibri" w:cs="Arial"/>
          <w:sz w:val="20"/>
          <w:szCs w:val="20"/>
        </w:rPr>
        <w:t xml:space="preserve"> Women are more likely to suffer poor health outcomes and are less likely to own land than men.</w:t>
      </w:r>
      <w:r>
        <w:rPr>
          <w:rStyle w:val="EndnoteReference"/>
          <w:rFonts w:ascii="Calibri" w:hAnsi="Calibri" w:cs="Arial"/>
          <w:sz w:val="20"/>
          <w:szCs w:val="20"/>
        </w:rPr>
        <w:endnoteReference w:id="11"/>
      </w:r>
      <w:r w:rsidRPr="002D392B">
        <w:rPr>
          <w:rFonts w:ascii="Calibri" w:hAnsi="Calibri" w:cs="Arial"/>
          <w:sz w:val="20"/>
          <w:szCs w:val="20"/>
        </w:rPr>
        <w:t xml:space="preserve"> </w:t>
      </w:r>
    </w:p>
    <w:p w:rsidR="0048081C" w:rsidRDefault="0048081C" w:rsidP="001C1557">
      <w:pPr>
        <w:rPr>
          <w:rFonts w:ascii="Calibri" w:hAnsi="Calibri" w:cs="Arial"/>
          <w:b/>
          <w:sz w:val="20"/>
          <w:szCs w:val="20"/>
        </w:rPr>
      </w:pPr>
    </w:p>
    <w:p w:rsidR="0048081C" w:rsidRPr="002D392B" w:rsidRDefault="0048081C" w:rsidP="001C1557">
      <w:pPr>
        <w:rPr>
          <w:rFonts w:ascii="Calibri" w:hAnsi="Calibri" w:cs="Arial"/>
          <w:b/>
          <w:sz w:val="20"/>
          <w:szCs w:val="20"/>
        </w:rPr>
      </w:pPr>
      <w:r w:rsidRPr="002D392B">
        <w:rPr>
          <w:rFonts w:ascii="Calibri" w:hAnsi="Calibri" w:cs="Arial"/>
          <w:b/>
          <w:sz w:val="20"/>
          <w:szCs w:val="20"/>
        </w:rPr>
        <w:t>Education and economic empowerment</w:t>
      </w:r>
    </w:p>
    <w:p w:rsidR="0048081C" w:rsidRPr="008E5243" w:rsidRDefault="0048081C" w:rsidP="001C1557">
      <w:pPr>
        <w:rPr>
          <w:rFonts w:ascii="Calibri" w:hAnsi="Calibri"/>
          <w:sz w:val="20"/>
          <w:szCs w:val="20"/>
        </w:rPr>
      </w:pPr>
      <w:r w:rsidRPr="002D392B">
        <w:rPr>
          <w:rFonts w:ascii="Calibri" w:hAnsi="Calibri" w:cs="Arial"/>
          <w:sz w:val="20"/>
          <w:szCs w:val="20"/>
        </w:rPr>
        <w:t>It is estimated that the average girl in Haiti only attends school for an average of 7 years</w:t>
      </w:r>
      <w:r w:rsidRPr="002D392B">
        <w:rPr>
          <w:rStyle w:val="EndnoteReference"/>
          <w:rFonts w:ascii="Calibri" w:hAnsi="Calibri" w:cs="Arial"/>
          <w:sz w:val="20"/>
          <w:szCs w:val="20"/>
        </w:rPr>
        <w:endnoteReference w:id="12"/>
      </w:r>
      <w:r w:rsidRPr="002D392B">
        <w:rPr>
          <w:rFonts w:ascii="Calibri" w:hAnsi="Calibri" w:cs="Arial"/>
          <w:sz w:val="20"/>
          <w:szCs w:val="20"/>
        </w:rPr>
        <w:t>. Due to tuition fees, girls are often pulled out of school to help with domestic chores at home. One study found that there was inappropriate, exploitative and abusive behaviour of mostly male teachers towards girls</w:t>
      </w:r>
      <w:r>
        <w:rPr>
          <w:rFonts w:ascii="Calibri" w:hAnsi="Calibri" w:cs="Arial"/>
          <w:sz w:val="20"/>
          <w:szCs w:val="20"/>
        </w:rPr>
        <w:t xml:space="preserve"> in schools</w:t>
      </w:r>
      <w:r w:rsidRPr="002D392B">
        <w:rPr>
          <w:rFonts w:ascii="Calibri" w:hAnsi="Calibri" w:cs="Arial"/>
          <w:sz w:val="20"/>
          <w:szCs w:val="20"/>
        </w:rPr>
        <w:t>.</w:t>
      </w:r>
      <w:r w:rsidRPr="002D392B">
        <w:rPr>
          <w:rStyle w:val="EndnoteReference"/>
          <w:rFonts w:ascii="Calibri" w:hAnsi="Calibri" w:cs="Arial"/>
          <w:sz w:val="20"/>
          <w:szCs w:val="20"/>
        </w:rPr>
        <w:endnoteReference w:id="13"/>
      </w:r>
      <w:r w:rsidR="008B4A64">
        <w:rPr>
          <w:rFonts w:ascii="Calibri" w:hAnsi="Calibri" w:cs="Arial"/>
          <w:sz w:val="20"/>
          <w:szCs w:val="20"/>
        </w:rPr>
        <w:t xml:space="preserve"> </w:t>
      </w:r>
      <w:r w:rsidRPr="002D392B">
        <w:rPr>
          <w:rFonts w:ascii="Calibri" w:hAnsi="Calibri" w:cs="Arial"/>
          <w:sz w:val="20"/>
          <w:szCs w:val="20"/>
        </w:rPr>
        <w:t>Women face high levels of unemployment and often have no access to formal banking systems.</w:t>
      </w:r>
      <w:r w:rsidRPr="007354E3">
        <w:t xml:space="preserve"> </w:t>
      </w:r>
      <w:r w:rsidRPr="008E5243">
        <w:rPr>
          <w:rFonts w:ascii="Calibri" w:hAnsi="Calibri"/>
          <w:sz w:val="20"/>
          <w:szCs w:val="20"/>
        </w:rPr>
        <w:t xml:space="preserve">Many women who were engaged in small commerce lost their resources during the earthquake, and therefore also their financial independence. Some lost husbands or family breadwinners. </w:t>
      </w:r>
      <w:r w:rsidRPr="002D392B">
        <w:rPr>
          <w:rFonts w:ascii="Calibri" w:hAnsi="Calibri" w:cs="Arial"/>
          <w:sz w:val="20"/>
          <w:szCs w:val="20"/>
        </w:rPr>
        <w:t xml:space="preserve">CARE and USAID have been working with Haitian women since 2013 to establish Village Savings and Loan Associations (VSLAs) and creating safe spaces for discussions on sexual and reproductive health, GBV and family planning. </w:t>
      </w:r>
    </w:p>
    <w:p w:rsidR="0048081C" w:rsidRPr="002D392B" w:rsidRDefault="0048081C" w:rsidP="001C1557">
      <w:pPr>
        <w:rPr>
          <w:rFonts w:ascii="Calibri" w:hAnsi="Calibri" w:cs="Arial"/>
          <w:sz w:val="20"/>
          <w:szCs w:val="20"/>
        </w:rPr>
      </w:pPr>
    </w:p>
    <w:p w:rsidR="0048081C" w:rsidRPr="002D392B" w:rsidRDefault="0048081C" w:rsidP="001C1557">
      <w:pPr>
        <w:rPr>
          <w:rFonts w:ascii="Calibri" w:hAnsi="Calibri" w:cs="Arial"/>
          <w:b/>
          <w:sz w:val="20"/>
          <w:szCs w:val="20"/>
        </w:rPr>
      </w:pPr>
      <w:r w:rsidRPr="002D392B">
        <w:rPr>
          <w:rFonts w:ascii="Calibri" w:hAnsi="Calibri" w:cs="Arial"/>
          <w:b/>
          <w:sz w:val="20"/>
          <w:szCs w:val="20"/>
        </w:rPr>
        <w:t>Gender-based Violence and Protection</w:t>
      </w:r>
    </w:p>
    <w:p w:rsidR="0048081C" w:rsidRDefault="0048081C" w:rsidP="001C1557">
      <w:pPr>
        <w:rPr>
          <w:rFonts w:ascii="Calibri" w:hAnsi="Calibri" w:cs="Arial"/>
          <w:sz w:val="20"/>
          <w:szCs w:val="20"/>
        </w:rPr>
      </w:pPr>
      <w:r>
        <w:rPr>
          <w:rFonts w:ascii="Calibri" w:hAnsi="Calibri" w:cs="Arial"/>
          <w:sz w:val="20"/>
          <w:szCs w:val="20"/>
        </w:rPr>
        <w:t>According to a recent review</w:t>
      </w:r>
      <w:r>
        <w:rPr>
          <w:rStyle w:val="EndnoteReference"/>
          <w:rFonts w:ascii="Calibri" w:hAnsi="Calibri" w:cs="Arial"/>
          <w:sz w:val="20"/>
          <w:szCs w:val="20"/>
        </w:rPr>
        <w:endnoteReference w:id="14"/>
      </w:r>
      <w:r>
        <w:rPr>
          <w:rFonts w:ascii="Calibri" w:hAnsi="Calibri" w:cs="Arial"/>
          <w:sz w:val="20"/>
          <w:szCs w:val="20"/>
        </w:rPr>
        <w:t xml:space="preserve">, </w:t>
      </w:r>
      <w:r w:rsidRPr="002D392B">
        <w:rPr>
          <w:rFonts w:ascii="Calibri" w:hAnsi="Calibri" w:cs="Arial"/>
          <w:sz w:val="20"/>
          <w:szCs w:val="20"/>
        </w:rPr>
        <w:t>there are more reports of GBV occurring in urban areas</w:t>
      </w:r>
      <w:r w:rsidR="007D38F1">
        <w:rPr>
          <w:rFonts w:ascii="Calibri" w:hAnsi="Calibri" w:cs="Arial"/>
          <w:sz w:val="20"/>
          <w:szCs w:val="20"/>
        </w:rPr>
        <w:t>. H</w:t>
      </w:r>
      <w:r>
        <w:rPr>
          <w:rFonts w:ascii="Calibri" w:hAnsi="Calibri" w:cs="Arial"/>
          <w:sz w:val="20"/>
          <w:szCs w:val="20"/>
        </w:rPr>
        <w:t>owever this</w:t>
      </w:r>
      <w:r w:rsidRPr="002D392B">
        <w:rPr>
          <w:rFonts w:ascii="Calibri" w:hAnsi="Calibri" w:cs="Arial"/>
          <w:sz w:val="20"/>
          <w:szCs w:val="20"/>
        </w:rPr>
        <w:t xml:space="preserve"> </w:t>
      </w:r>
      <w:r w:rsidR="007D38F1">
        <w:rPr>
          <w:rFonts w:ascii="Calibri" w:hAnsi="Calibri" w:cs="Arial"/>
          <w:sz w:val="20"/>
          <w:szCs w:val="20"/>
        </w:rPr>
        <w:t xml:space="preserve">increased reporting does not mean that </w:t>
      </w:r>
      <w:r w:rsidRPr="002D392B">
        <w:rPr>
          <w:rFonts w:ascii="Calibri" w:hAnsi="Calibri" w:cs="Arial"/>
          <w:sz w:val="20"/>
          <w:szCs w:val="20"/>
        </w:rPr>
        <w:t xml:space="preserve">prevalence </w:t>
      </w:r>
      <w:r w:rsidR="007D38F1">
        <w:rPr>
          <w:rFonts w:ascii="Calibri" w:hAnsi="Calibri" w:cs="Arial"/>
          <w:sz w:val="20"/>
          <w:szCs w:val="20"/>
        </w:rPr>
        <w:t>is not</w:t>
      </w:r>
      <w:r w:rsidRPr="002D392B">
        <w:rPr>
          <w:rFonts w:ascii="Calibri" w:hAnsi="Calibri" w:cs="Arial"/>
          <w:sz w:val="20"/>
          <w:szCs w:val="20"/>
        </w:rPr>
        <w:t xml:space="preserve"> equally high in rural areas. Available evidence suggests that a significant proportion of victims of sexual violence in Haiti are children and minors. There is widespread consensus that GBV increased since the </w:t>
      </w:r>
      <w:r w:rsidR="00291453">
        <w:rPr>
          <w:rFonts w:ascii="Calibri" w:hAnsi="Calibri" w:cs="Arial"/>
          <w:sz w:val="20"/>
          <w:szCs w:val="20"/>
        </w:rPr>
        <w:t xml:space="preserve">2010 </w:t>
      </w:r>
      <w:r w:rsidRPr="002D392B">
        <w:rPr>
          <w:rFonts w:ascii="Calibri" w:hAnsi="Calibri" w:cs="Arial"/>
          <w:sz w:val="20"/>
          <w:szCs w:val="20"/>
        </w:rPr>
        <w:t xml:space="preserve">earthquake, including a rise in the number of women and girls engaging in sex work. Although rape has been a focus of concern, some reports suggest that physical aggression is actually a more common form of violence against women overall. </w:t>
      </w:r>
      <w:r>
        <w:rPr>
          <w:rFonts w:ascii="Calibri" w:hAnsi="Calibri" w:cs="Arial"/>
          <w:sz w:val="20"/>
          <w:szCs w:val="20"/>
        </w:rPr>
        <w:t xml:space="preserve">One survey found that outside Port-au-Prince, most sexual attacks occur in the home whereas in Port-au-Prince the streets are more dangerous. Domestic violence is a significant concern and is seen to be worse in rural areas, where access to healthcare is inadequate and survivors are left to ‘fend for themselves’. It has also been reported by UNHCR that the living conditions in IDP camps in 2011 can exacerbate women’s vulnerability to violence, whereby women formed relationships with men for economic security or to engage in transactional sex. However it should be noted that many Haitian women’s organisations reject gender stereotyping of men in IDP camps </w:t>
      </w:r>
      <w:r>
        <w:rPr>
          <w:rFonts w:ascii="Calibri" w:hAnsi="Calibri" w:cs="Arial"/>
          <w:sz w:val="20"/>
          <w:szCs w:val="20"/>
        </w:rPr>
        <w:lastRenderedPageBreak/>
        <w:t xml:space="preserve">as criminal gang members and women as prostitutes and there is a general call for greater support for women’s networks who play critical roles in organising, networking, caretaking and ensuring basic survival. </w:t>
      </w:r>
    </w:p>
    <w:p w:rsidR="0048081C" w:rsidRPr="002D392B" w:rsidRDefault="0048081C" w:rsidP="001C1557">
      <w:pPr>
        <w:rPr>
          <w:rFonts w:ascii="Calibri" w:hAnsi="Calibri" w:cs="Arial"/>
          <w:sz w:val="20"/>
          <w:szCs w:val="20"/>
        </w:rPr>
      </w:pPr>
    </w:p>
    <w:p w:rsidR="0048081C" w:rsidRDefault="0048081C" w:rsidP="001C1557">
      <w:pPr>
        <w:rPr>
          <w:rFonts w:ascii="Calibri" w:hAnsi="Calibri" w:cs="Arial"/>
          <w:b/>
          <w:sz w:val="20"/>
          <w:szCs w:val="20"/>
        </w:rPr>
      </w:pPr>
      <w:r>
        <w:rPr>
          <w:rFonts w:ascii="Calibri" w:hAnsi="Calibri" w:cs="Arial"/>
          <w:b/>
          <w:sz w:val="20"/>
          <w:szCs w:val="20"/>
        </w:rPr>
        <w:t xml:space="preserve">Women’s participation </w:t>
      </w:r>
    </w:p>
    <w:p w:rsidR="0048081C" w:rsidRPr="0046570C" w:rsidRDefault="0048081C" w:rsidP="001C1557">
      <w:pPr>
        <w:rPr>
          <w:rFonts w:ascii="Calibri" w:hAnsi="Calibri" w:cs="Arial"/>
          <w:sz w:val="20"/>
          <w:szCs w:val="20"/>
        </w:rPr>
      </w:pPr>
      <w:r>
        <w:rPr>
          <w:rFonts w:ascii="Calibri" w:hAnsi="Calibri" w:cs="Arial"/>
          <w:sz w:val="20"/>
          <w:szCs w:val="20"/>
        </w:rPr>
        <w:t>Haiti has a strong women’s civil society movement. However in terms of participation, a Human Rights Watch report found that 18 months after the earthquake, women directly affected by the earthquake had been excluded from the reconstruction process.</w:t>
      </w:r>
      <w:r>
        <w:rPr>
          <w:rStyle w:val="EndnoteReference"/>
          <w:rFonts w:ascii="Calibri" w:hAnsi="Calibri" w:cs="Arial"/>
          <w:sz w:val="20"/>
          <w:szCs w:val="20"/>
        </w:rPr>
        <w:endnoteReference w:id="15"/>
      </w:r>
      <w:r>
        <w:rPr>
          <w:rFonts w:ascii="Calibri" w:hAnsi="Calibri" w:cs="Arial"/>
          <w:sz w:val="20"/>
          <w:szCs w:val="20"/>
        </w:rPr>
        <w:t xml:space="preserve"> Women and girls expressed frustration that they lacked basic information that would allow them to access basic health services, many funded by international actors. They described serious obstacles in accessing prenatal and obstetric care, leading some to deliver babies in their muddy tents or en route to hospital. Most women and girls did not know which organisations worked where and who to complain to when they had a problem. </w:t>
      </w:r>
    </w:p>
    <w:p w:rsidR="0048081C" w:rsidRDefault="0048081C" w:rsidP="001C1557">
      <w:pPr>
        <w:rPr>
          <w:rFonts w:ascii="Calibri" w:hAnsi="Calibri" w:cs="Arial"/>
          <w:sz w:val="20"/>
          <w:szCs w:val="20"/>
        </w:rPr>
      </w:pPr>
    </w:p>
    <w:p w:rsidR="0048081C" w:rsidRDefault="0048081C" w:rsidP="001C1557">
      <w:pPr>
        <w:rPr>
          <w:rFonts w:ascii="Calibri" w:hAnsi="Calibri" w:cs="Arial"/>
          <w:b/>
          <w:sz w:val="20"/>
          <w:szCs w:val="20"/>
        </w:rPr>
      </w:pPr>
      <w:r>
        <w:rPr>
          <w:rFonts w:ascii="Calibri" w:hAnsi="Calibri" w:cs="Arial"/>
          <w:b/>
          <w:sz w:val="20"/>
          <w:szCs w:val="20"/>
        </w:rPr>
        <w:t>Water and sanitation</w:t>
      </w:r>
    </w:p>
    <w:p w:rsidR="00291453" w:rsidRPr="00291453" w:rsidRDefault="0048081C" w:rsidP="001C1557">
      <w:pPr>
        <w:rPr>
          <w:rFonts w:ascii="Calibri" w:hAnsi="Calibri" w:cs="Arial"/>
          <w:sz w:val="20"/>
          <w:szCs w:val="20"/>
        </w:rPr>
      </w:pPr>
      <w:r>
        <w:rPr>
          <w:rFonts w:ascii="Calibri" w:hAnsi="Calibri" w:cs="Arial"/>
          <w:sz w:val="20"/>
          <w:szCs w:val="20"/>
        </w:rPr>
        <w:t>There have been serious issues regarding women and girls’ access to water and sanitation. This includes fears of verbal and sexual attacks from men in camps w</w:t>
      </w:r>
      <w:r w:rsidR="00291453">
        <w:rPr>
          <w:rFonts w:ascii="Calibri" w:hAnsi="Calibri" w:cs="Arial"/>
          <w:sz w:val="20"/>
          <w:szCs w:val="20"/>
        </w:rPr>
        <w:t>hile accessing bathing areas. Wi</w:t>
      </w:r>
      <w:r>
        <w:rPr>
          <w:rFonts w:ascii="Calibri" w:hAnsi="Calibri" w:cs="Arial"/>
          <w:sz w:val="20"/>
          <w:szCs w:val="20"/>
        </w:rPr>
        <w:t>th rising cases of cholera many women and girls get vaginal infections and cannot manage their personal hygiene during menstruation.</w:t>
      </w:r>
      <w:r w:rsidR="00291453">
        <w:rPr>
          <w:rFonts w:ascii="Calibri" w:hAnsi="Calibri" w:cs="Arial"/>
          <w:sz w:val="20"/>
          <w:szCs w:val="20"/>
        </w:rPr>
        <w:t xml:space="preserve"> This will be a particular concern in disasters where access to water and sanitation is restricted. A l</w:t>
      </w:r>
      <w:r>
        <w:rPr>
          <w:rFonts w:ascii="Calibri" w:hAnsi="Calibri" w:cs="Arial"/>
          <w:sz w:val="20"/>
          <w:szCs w:val="20"/>
        </w:rPr>
        <w:t>ack of clean water also had an impact on children’s access to schools and a study in 2014 found that 60% of schools lack toilets.</w:t>
      </w:r>
      <w:r>
        <w:rPr>
          <w:rStyle w:val="EndnoteReference"/>
          <w:rFonts w:ascii="Calibri" w:hAnsi="Calibri" w:cs="Arial"/>
          <w:sz w:val="20"/>
          <w:szCs w:val="20"/>
        </w:rPr>
        <w:endnoteReference w:id="16"/>
      </w:r>
      <w:r>
        <w:rPr>
          <w:rFonts w:ascii="Calibri" w:hAnsi="Calibri" w:cs="Arial"/>
          <w:sz w:val="20"/>
          <w:szCs w:val="20"/>
        </w:rPr>
        <w:t xml:space="preserve">  </w:t>
      </w:r>
    </w:p>
    <w:p w:rsidR="0048081C" w:rsidRDefault="0048081C" w:rsidP="001C1557">
      <w:pPr>
        <w:rPr>
          <w:rFonts w:ascii="Calibri" w:hAnsi="Calibri" w:cs="Arial"/>
          <w:sz w:val="22"/>
          <w:szCs w:val="22"/>
        </w:rPr>
      </w:pPr>
    </w:p>
    <w:p w:rsidR="0048081C" w:rsidRPr="0000674F" w:rsidRDefault="0048081C" w:rsidP="001C1557">
      <w:pPr>
        <w:rPr>
          <w:rFonts w:ascii="Calibri" w:hAnsi="Calibri" w:cs="Arial"/>
          <w:b/>
          <w:sz w:val="20"/>
          <w:szCs w:val="20"/>
        </w:rPr>
      </w:pPr>
      <w:r w:rsidRPr="0000674F">
        <w:rPr>
          <w:rFonts w:ascii="Calibri" w:hAnsi="Calibri" w:cs="Arial"/>
          <w:b/>
          <w:sz w:val="20"/>
          <w:szCs w:val="20"/>
        </w:rPr>
        <w:t>Gender in emergencies</w:t>
      </w:r>
    </w:p>
    <w:p w:rsidR="0000674F" w:rsidRDefault="00291453" w:rsidP="001C1557">
      <w:pPr>
        <w:rPr>
          <w:rFonts w:ascii="Calibri" w:hAnsi="Calibri" w:cs="Arial"/>
          <w:sz w:val="20"/>
          <w:szCs w:val="20"/>
        </w:rPr>
      </w:pPr>
      <w:r>
        <w:rPr>
          <w:rFonts w:ascii="Calibri" w:hAnsi="Calibri" w:cs="Arial"/>
          <w:sz w:val="20"/>
          <w:szCs w:val="20"/>
        </w:rPr>
        <w:t>Hurricane Matthew is</w:t>
      </w:r>
      <w:r w:rsidR="0048081C">
        <w:rPr>
          <w:rFonts w:ascii="Calibri" w:hAnsi="Calibri" w:cs="Arial"/>
          <w:sz w:val="20"/>
          <w:szCs w:val="20"/>
        </w:rPr>
        <w:t xml:space="preserve"> likely to exacerbate gendered inequalities and protection risks and it is important to understand the different needs and capacities of women, men, boys and girls. According to aid workers </w:t>
      </w:r>
      <w:r>
        <w:rPr>
          <w:rFonts w:ascii="Calibri" w:hAnsi="Calibri" w:cs="Arial"/>
          <w:sz w:val="20"/>
          <w:szCs w:val="20"/>
        </w:rPr>
        <w:t>on the ground, the biggest needs so far are</w:t>
      </w:r>
      <w:r w:rsidR="0048081C">
        <w:rPr>
          <w:rFonts w:ascii="Calibri" w:hAnsi="Calibri" w:cs="Arial"/>
          <w:sz w:val="20"/>
          <w:szCs w:val="20"/>
        </w:rPr>
        <w:t xml:space="preserve"> food and clean water</w:t>
      </w:r>
      <w:r w:rsidR="0048081C">
        <w:rPr>
          <w:rStyle w:val="EndnoteReference"/>
          <w:rFonts w:ascii="Calibri" w:hAnsi="Calibri" w:cs="Arial"/>
          <w:sz w:val="20"/>
          <w:szCs w:val="20"/>
        </w:rPr>
        <w:endnoteReference w:id="17"/>
      </w:r>
      <w:r>
        <w:rPr>
          <w:rFonts w:ascii="Calibri" w:hAnsi="Calibri" w:cs="Arial"/>
          <w:sz w:val="20"/>
          <w:szCs w:val="20"/>
        </w:rPr>
        <w:t xml:space="preserve">, </w:t>
      </w:r>
      <w:r w:rsidR="0048081C">
        <w:rPr>
          <w:rFonts w:ascii="Calibri" w:hAnsi="Calibri" w:cs="Arial"/>
          <w:sz w:val="20"/>
          <w:szCs w:val="20"/>
        </w:rPr>
        <w:t>a</w:t>
      </w:r>
      <w:r w:rsidR="0084233F">
        <w:rPr>
          <w:rFonts w:ascii="Calibri" w:hAnsi="Calibri" w:cs="Arial"/>
          <w:sz w:val="20"/>
          <w:szCs w:val="20"/>
        </w:rPr>
        <w:t>nd ma</w:t>
      </w:r>
      <w:r>
        <w:rPr>
          <w:rFonts w:ascii="Calibri" w:hAnsi="Calibri" w:cs="Arial"/>
          <w:sz w:val="20"/>
          <w:szCs w:val="20"/>
        </w:rPr>
        <w:t>ny people have lost their homes. Some have also lost</w:t>
      </w:r>
      <w:r w:rsidR="0084233F">
        <w:rPr>
          <w:rFonts w:ascii="Calibri" w:hAnsi="Calibri" w:cs="Arial"/>
          <w:sz w:val="20"/>
          <w:szCs w:val="20"/>
        </w:rPr>
        <w:t xml:space="preserve"> family members. </w:t>
      </w:r>
      <w:r w:rsidR="006A4A2F">
        <w:rPr>
          <w:rFonts w:ascii="Calibri" w:hAnsi="Calibri" w:cs="Arial"/>
          <w:sz w:val="20"/>
          <w:szCs w:val="20"/>
        </w:rPr>
        <w:t xml:space="preserve">It is important for humanitarian programming to learn from previous humanitarian responses particularly in ensuring that women </w:t>
      </w:r>
      <w:r w:rsidR="00E7484C">
        <w:rPr>
          <w:rFonts w:ascii="Calibri" w:hAnsi="Calibri" w:cs="Arial"/>
          <w:sz w:val="20"/>
          <w:szCs w:val="20"/>
        </w:rPr>
        <w:t xml:space="preserve">and girls in particular </w:t>
      </w:r>
      <w:r w:rsidR="006A4A2F">
        <w:rPr>
          <w:rFonts w:ascii="Calibri" w:hAnsi="Calibri" w:cs="Arial"/>
          <w:sz w:val="20"/>
          <w:szCs w:val="20"/>
        </w:rPr>
        <w:t xml:space="preserve">have access to </w:t>
      </w:r>
      <w:r w:rsidR="00E7484C">
        <w:rPr>
          <w:rFonts w:ascii="Calibri" w:hAnsi="Calibri" w:cs="Arial"/>
          <w:sz w:val="20"/>
          <w:szCs w:val="20"/>
        </w:rPr>
        <w:t xml:space="preserve">relevant </w:t>
      </w:r>
      <w:r w:rsidR="006A4A2F">
        <w:rPr>
          <w:rFonts w:ascii="Calibri" w:hAnsi="Calibri" w:cs="Arial"/>
          <w:sz w:val="20"/>
          <w:szCs w:val="20"/>
        </w:rPr>
        <w:t xml:space="preserve">information </w:t>
      </w:r>
      <w:r w:rsidR="00E7484C">
        <w:rPr>
          <w:rFonts w:ascii="Calibri" w:hAnsi="Calibri" w:cs="Arial"/>
          <w:sz w:val="20"/>
          <w:szCs w:val="20"/>
        </w:rPr>
        <w:t>on services available</w:t>
      </w:r>
      <w:r w:rsidR="004A76C4">
        <w:rPr>
          <w:rFonts w:ascii="Calibri" w:hAnsi="Calibri" w:cs="Arial"/>
          <w:sz w:val="20"/>
          <w:szCs w:val="20"/>
        </w:rPr>
        <w:t xml:space="preserve"> (particularly regarding cholera and WASH)</w:t>
      </w:r>
      <w:r w:rsidR="00E7484C">
        <w:rPr>
          <w:rFonts w:ascii="Calibri" w:hAnsi="Calibri" w:cs="Arial"/>
          <w:sz w:val="20"/>
          <w:szCs w:val="20"/>
        </w:rPr>
        <w:t xml:space="preserve">, </w:t>
      </w:r>
      <w:r w:rsidR="004A76C4">
        <w:rPr>
          <w:rFonts w:ascii="Calibri" w:hAnsi="Calibri" w:cs="Arial"/>
          <w:sz w:val="20"/>
          <w:szCs w:val="20"/>
        </w:rPr>
        <w:t>and</w:t>
      </w:r>
      <w:r w:rsidR="00E7484C">
        <w:rPr>
          <w:rFonts w:ascii="Calibri" w:hAnsi="Calibri" w:cs="Arial"/>
          <w:sz w:val="20"/>
          <w:szCs w:val="20"/>
        </w:rPr>
        <w:t xml:space="preserve"> to reduce likelihood of exploitation in exchange for food and water.</w:t>
      </w:r>
      <w:r w:rsidR="00D37B36">
        <w:rPr>
          <w:rFonts w:ascii="Calibri" w:hAnsi="Calibri" w:cs="Arial"/>
          <w:sz w:val="20"/>
          <w:szCs w:val="20"/>
        </w:rPr>
        <w:t xml:space="preserve"> </w:t>
      </w:r>
      <w:r>
        <w:rPr>
          <w:rFonts w:ascii="Calibri" w:hAnsi="Calibri" w:cs="Arial"/>
          <w:sz w:val="20"/>
          <w:szCs w:val="20"/>
        </w:rPr>
        <w:t xml:space="preserve">Women and girls should be specifically targeted with relevant information. </w:t>
      </w:r>
      <w:r w:rsidR="00D37B36">
        <w:rPr>
          <w:rFonts w:ascii="Calibri" w:hAnsi="Calibri" w:cs="Arial"/>
          <w:sz w:val="20"/>
          <w:szCs w:val="20"/>
        </w:rPr>
        <w:t xml:space="preserve">WASH, </w:t>
      </w:r>
      <w:r>
        <w:rPr>
          <w:rFonts w:ascii="Calibri" w:hAnsi="Calibri" w:cs="Arial"/>
          <w:sz w:val="20"/>
          <w:szCs w:val="20"/>
        </w:rPr>
        <w:t>s</w:t>
      </w:r>
      <w:r w:rsidR="00D37B36">
        <w:rPr>
          <w:rFonts w:ascii="Calibri" w:hAnsi="Calibri" w:cs="Arial"/>
          <w:sz w:val="20"/>
          <w:szCs w:val="20"/>
        </w:rPr>
        <w:t xml:space="preserve">helter, </w:t>
      </w:r>
      <w:r>
        <w:rPr>
          <w:rFonts w:ascii="Calibri" w:hAnsi="Calibri" w:cs="Arial"/>
          <w:sz w:val="20"/>
          <w:szCs w:val="20"/>
        </w:rPr>
        <w:t>f</w:t>
      </w:r>
      <w:r w:rsidR="00D37B36">
        <w:rPr>
          <w:rFonts w:ascii="Calibri" w:hAnsi="Calibri" w:cs="Arial"/>
          <w:sz w:val="20"/>
          <w:szCs w:val="20"/>
        </w:rPr>
        <w:t xml:space="preserve">ood </w:t>
      </w:r>
      <w:r>
        <w:rPr>
          <w:rFonts w:ascii="Calibri" w:hAnsi="Calibri" w:cs="Arial"/>
          <w:sz w:val="20"/>
          <w:szCs w:val="20"/>
        </w:rPr>
        <w:t>and nutrition a</w:t>
      </w:r>
      <w:r w:rsidR="00D37B36">
        <w:rPr>
          <w:rFonts w:ascii="Calibri" w:hAnsi="Calibri" w:cs="Arial"/>
          <w:sz w:val="20"/>
          <w:szCs w:val="20"/>
        </w:rPr>
        <w:t>ssistance emergency response</w:t>
      </w:r>
      <w:r>
        <w:rPr>
          <w:rFonts w:ascii="Calibri" w:hAnsi="Calibri" w:cs="Arial"/>
          <w:sz w:val="20"/>
          <w:szCs w:val="20"/>
        </w:rPr>
        <w:t>s</w:t>
      </w:r>
      <w:r w:rsidR="00D37B36">
        <w:rPr>
          <w:rFonts w:ascii="Calibri" w:hAnsi="Calibri" w:cs="Arial"/>
          <w:sz w:val="20"/>
          <w:szCs w:val="20"/>
        </w:rPr>
        <w:t xml:space="preserve"> should include a region-specific understanding of basic protection risks and include risk mitigation strategies (Further information in IASC GBV mitigation guidelines). Emergency response should also ensure grassroots/local women’s groups are involved particularly in information dissemination and in GBV prevention/response mechanisms. </w:t>
      </w: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870A39" w:rsidRDefault="00870A39" w:rsidP="001C1557">
      <w:pPr>
        <w:rPr>
          <w:rFonts w:ascii="Calibri" w:hAnsi="Calibri" w:cs="Arial"/>
          <w:sz w:val="20"/>
          <w:szCs w:val="20"/>
        </w:rPr>
      </w:pPr>
    </w:p>
    <w:p w:rsidR="00291453" w:rsidRDefault="00291453" w:rsidP="001C1557">
      <w:pPr>
        <w:rPr>
          <w:rFonts w:ascii="Calibri" w:hAnsi="Calibri" w:cs="Arial"/>
          <w:sz w:val="20"/>
          <w:szCs w:val="20"/>
        </w:rPr>
      </w:pPr>
    </w:p>
    <w:p w:rsidR="00291453" w:rsidRDefault="00291453" w:rsidP="001C1557">
      <w:pPr>
        <w:rPr>
          <w:rFonts w:ascii="Calibri" w:hAnsi="Calibri" w:cs="Arial"/>
          <w:sz w:val="20"/>
          <w:szCs w:val="20"/>
        </w:rPr>
      </w:pPr>
    </w:p>
    <w:p w:rsidR="00870A39" w:rsidRDefault="00870A39" w:rsidP="001C1557">
      <w:pPr>
        <w:rPr>
          <w:rFonts w:ascii="Calibri" w:hAnsi="Calibri" w:cs="Arial"/>
          <w:sz w:val="20"/>
          <w:szCs w:val="20"/>
        </w:rPr>
      </w:pPr>
    </w:p>
    <w:p w:rsidR="00870A39" w:rsidRPr="00B26BE1" w:rsidRDefault="00870A39" w:rsidP="001C1557">
      <w:pPr>
        <w:rPr>
          <w:rFonts w:ascii="Calibri" w:hAnsi="Calibri" w:cs="Arial"/>
          <w:sz w:val="20"/>
          <w:szCs w:val="20"/>
        </w:rPr>
        <w:sectPr w:rsidR="00870A39" w:rsidRPr="00B26BE1" w:rsidSect="00870A39">
          <w:headerReference w:type="default" r:id="rId8"/>
          <w:footerReference w:type="even" r:id="rId9"/>
          <w:footerReference w:type="default" r:id="rId10"/>
          <w:headerReference w:type="first" r:id="rId11"/>
          <w:footerReference w:type="first" r:id="rId12"/>
          <w:endnotePr>
            <w:numFmt w:val="decimal"/>
          </w:endnotePr>
          <w:pgSz w:w="11906" w:h="16838" w:code="9"/>
          <w:pgMar w:top="1440" w:right="1077" w:bottom="1135" w:left="1077" w:header="709" w:footer="709" w:gutter="0"/>
          <w:cols w:space="708"/>
          <w:titlePg/>
          <w:docGrid w:linePitch="360"/>
        </w:sectPr>
      </w:pPr>
    </w:p>
    <w:p w:rsidR="0048081C" w:rsidRDefault="0048081C" w:rsidP="00870A39">
      <w:pPr>
        <w:jc w:val="both"/>
        <w:rPr>
          <w:rFonts w:ascii="Calibri" w:hAnsi="Calibri" w:cs="Arial"/>
          <w:i/>
        </w:rPr>
      </w:pPr>
    </w:p>
    <w:sectPr w:rsidR="0048081C" w:rsidSect="00870A3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C9" w:rsidRDefault="004164C9">
      <w:r>
        <w:separator/>
      </w:r>
    </w:p>
  </w:endnote>
  <w:endnote w:type="continuationSeparator" w:id="0">
    <w:p w:rsidR="004164C9" w:rsidRDefault="004164C9">
      <w:r>
        <w:continuationSeparator/>
      </w:r>
    </w:p>
  </w:endnote>
  <w:endnote w:id="1">
    <w:p w:rsidR="0048081C" w:rsidRPr="0029096F" w:rsidRDefault="0048081C" w:rsidP="0048081C">
      <w:pPr>
        <w:pStyle w:val="EndnoteText"/>
        <w:rPr>
          <w:sz w:val="16"/>
          <w:szCs w:val="16"/>
        </w:rPr>
      </w:pPr>
      <w:r w:rsidRPr="0029096F">
        <w:rPr>
          <w:rStyle w:val="EndnoteReference"/>
          <w:sz w:val="16"/>
          <w:szCs w:val="16"/>
        </w:rPr>
        <w:endnoteRef/>
      </w:r>
      <w:r w:rsidRPr="0029096F">
        <w:rPr>
          <w:sz w:val="16"/>
          <w:szCs w:val="16"/>
        </w:rPr>
        <w:t xml:space="preserve"> United Nations Department of Economic and Social Affairs: Population Division</w:t>
      </w:r>
    </w:p>
  </w:endnote>
  <w:endnote w:id="2">
    <w:p w:rsidR="0048081C" w:rsidRPr="00BD6F8E" w:rsidRDefault="0048081C" w:rsidP="00C13688">
      <w:pPr>
        <w:pStyle w:val="EndnoteText"/>
        <w:rPr>
          <w:sz w:val="16"/>
          <w:szCs w:val="16"/>
        </w:rPr>
      </w:pPr>
      <w:r w:rsidRPr="00BD6F8E">
        <w:rPr>
          <w:rStyle w:val="EndnoteReference"/>
          <w:sz w:val="16"/>
          <w:szCs w:val="16"/>
        </w:rPr>
        <w:endnoteRef/>
      </w:r>
      <w:r w:rsidRPr="00BD6F8E">
        <w:rPr>
          <w:sz w:val="16"/>
          <w:szCs w:val="16"/>
        </w:rPr>
        <w:t xml:space="preserve"> IOM, DTM, March 2016</w:t>
      </w:r>
    </w:p>
  </w:endnote>
  <w:endnote w:id="3">
    <w:p w:rsidR="0048081C" w:rsidRPr="0029096F" w:rsidRDefault="0048081C" w:rsidP="00C13688">
      <w:pPr>
        <w:pStyle w:val="EndnoteText"/>
        <w:rPr>
          <w:sz w:val="16"/>
          <w:szCs w:val="16"/>
        </w:rPr>
      </w:pPr>
      <w:r w:rsidRPr="0029096F">
        <w:rPr>
          <w:rStyle w:val="EndnoteReference"/>
          <w:sz w:val="16"/>
          <w:szCs w:val="16"/>
        </w:rPr>
        <w:endnoteRef/>
      </w:r>
      <w:r w:rsidRPr="0029096F">
        <w:rPr>
          <w:sz w:val="16"/>
          <w:szCs w:val="16"/>
        </w:rPr>
        <w:t xml:space="preserve"> UN WOMEN 2011 </w:t>
      </w:r>
      <w:hyperlink r:id="rId1" w:history="1">
        <w:r w:rsidRPr="0029096F">
          <w:rPr>
            <w:rStyle w:val="Hyperlink"/>
            <w:sz w:val="16"/>
            <w:szCs w:val="16"/>
          </w:rPr>
          <w:t>http://www.unwomen.org/en/news/stories/2011/1/un-women-on-the-ground-haiti-s-women-a-year-after-the-earthquake</w:t>
        </w:r>
      </w:hyperlink>
      <w:r w:rsidRPr="0029096F">
        <w:rPr>
          <w:sz w:val="16"/>
          <w:szCs w:val="16"/>
        </w:rPr>
        <w:t xml:space="preserve"> </w:t>
      </w:r>
    </w:p>
  </w:endnote>
  <w:endnote w:id="4">
    <w:p w:rsidR="0048081C" w:rsidRPr="0029096F" w:rsidRDefault="0048081C" w:rsidP="00C13688">
      <w:pPr>
        <w:pStyle w:val="EndnoteText"/>
        <w:rPr>
          <w:sz w:val="16"/>
          <w:szCs w:val="16"/>
        </w:rPr>
      </w:pPr>
      <w:r w:rsidRPr="0029096F">
        <w:rPr>
          <w:rStyle w:val="EndnoteReference"/>
          <w:sz w:val="16"/>
          <w:szCs w:val="16"/>
        </w:rPr>
        <w:endnoteRef/>
      </w:r>
      <w:r w:rsidRPr="0029096F">
        <w:rPr>
          <w:sz w:val="16"/>
          <w:szCs w:val="16"/>
        </w:rPr>
        <w:t xml:space="preserve"> UNICEF Data: Monitoring the Situation for Women and Children </w:t>
      </w:r>
    </w:p>
  </w:endnote>
  <w:endnote w:id="5">
    <w:p w:rsidR="0048081C" w:rsidRPr="0029096F" w:rsidRDefault="0048081C" w:rsidP="00C13688">
      <w:pPr>
        <w:pStyle w:val="EndnoteText"/>
        <w:rPr>
          <w:sz w:val="16"/>
          <w:szCs w:val="16"/>
        </w:rPr>
      </w:pPr>
      <w:r w:rsidRPr="0029096F">
        <w:rPr>
          <w:rStyle w:val="EndnoteReference"/>
          <w:sz w:val="16"/>
          <w:szCs w:val="16"/>
        </w:rPr>
        <w:endnoteRef/>
      </w:r>
      <w:r w:rsidRPr="0029096F">
        <w:rPr>
          <w:sz w:val="16"/>
          <w:szCs w:val="16"/>
        </w:rPr>
        <w:t xml:space="preserve"> UNICEF Data: Monitoring the Situation for Women and Children </w:t>
      </w:r>
    </w:p>
  </w:endnote>
  <w:endnote w:id="6">
    <w:p w:rsidR="0048081C" w:rsidRPr="0029096F" w:rsidRDefault="0048081C" w:rsidP="00C13688">
      <w:pPr>
        <w:pStyle w:val="EndnoteText"/>
        <w:rPr>
          <w:sz w:val="16"/>
          <w:szCs w:val="16"/>
        </w:rPr>
      </w:pPr>
      <w:r w:rsidRPr="0029096F">
        <w:rPr>
          <w:rStyle w:val="EndnoteReference"/>
          <w:sz w:val="16"/>
          <w:szCs w:val="16"/>
        </w:rPr>
        <w:endnoteRef/>
      </w:r>
      <w:r w:rsidRPr="0029096F">
        <w:rPr>
          <w:sz w:val="16"/>
          <w:szCs w:val="16"/>
        </w:rPr>
        <w:t xml:space="preserve"> WHO, UNICEF, UNFPA, World Bank 2014 Trends in maternal mortality: 1990 to 2013</w:t>
      </w:r>
    </w:p>
  </w:endnote>
  <w:endnote w:id="7">
    <w:p w:rsidR="0048081C" w:rsidRPr="0029096F" w:rsidRDefault="0048081C" w:rsidP="00C13688">
      <w:pPr>
        <w:pStyle w:val="EndnoteText"/>
        <w:rPr>
          <w:sz w:val="16"/>
          <w:szCs w:val="16"/>
        </w:rPr>
      </w:pPr>
      <w:r w:rsidRPr="0029096F">
        <w:rPr>
          <w:rStyle w:val="EndnoteReference"/>
          <w:sz w:val="16"/>
          <w:szCs w:val="16"/>
        </w:rPr>
        <w:endnoteRef/>
      </w:r>
      <w:r w:rsidRPr="0029096F">
        <w:rPr>
          <w:sz w:val="16"/>
          <w:szCs w:val="16"/>
        </w:rPr>
        <w:t xml:space="preserve"> UNICEF State of  the World’s Children 2016</w:t>
      </w:r>
    </w:p>
  </w:endnote>
  <w:endnote w:id="8">
    <w:p w:rsidR="0048081C" w:rsidRPr="0029096F" w:rsidRDefault="0048081C">
      <w:pPr>
        <w:pStyle w:val="EndnoteText"/>
        <w:rPr>
          <w:sz w:val="16"/>
          <w:szCs w:val="16"/>
        </w:rPr>
      </w:pPr>
      <w:r w:rsidRPr="0029096F">
        <w:rPr>
          <w:rStyle w:val="EndnoteReference"/>
          <w:sz w:val="16"/>
          <w:szCs w:val="16"/>
        </w:rPr>
        <w:endnoteRef/>
      </w:r>
      <w:r w:rsidRPr="0029096F">
        <w:rPr>
          <w:sz w:val="16"/>
          <w:szCs w:val="16"/>
        </w:rPr>
        <w:t xml:space="preserve"> Human Rights Brief </w:t>
      </w:r>
      <w:hyperlink r:id="rId2" w:history="1">
        <w:r w:rsidRPr="0029096F">
          <w:rPr>
            <w:rStyle w:val="Hyperlink"/>
            <w:sz w:val="16"/>
            <w:szCs w:val="16"/>
          </w:rPr>
          <w:t>http://hrbrief.org/2012/02/the-situation-of-women-and-girls-in-haiti-exemplifies-the-difficulties-of-post-natural-disaster-protection-of-human-rights/</w:t>
        </w:r>
      </w:hyperlink>
      <w:r w:rsidRPr="0029096F">
        <w:rPr>
          <w:sz w:val="16"/>
          <w:szCs w:val="16"/>
        </w:rPr>
        <w:t xml:space="preserve"> </w:t>
      </w:r>
    </w:p>
  </w:endnote>
  <w:endnote w:id="9">
    <w:p w:rsidR="0048081C" w:rsidRDefault="0048081C">
      <w:pPr>
        <w:pStyle w:val="EndnoteText"/>
      </w:pPr>
      <w:r>
        <w:rPr>
          <w:rStyle w:val="EndnoteReference"/>
        </w:rPr>
        <w:endnoteRef/>
      </w:r>
      <w:r>
        <w:t xml:space="preserve"> </w:t>
      </w:r>
      <w:r w:rsidRPr="0031355D">
        <w:rPr>
          <w:sz w:val="16"/>
          <w:szCs w:val="16"/>
        </w:rPr>
        <w:t>Governance and Social Development Resource Centre Helpdesk Research Report 2013: VAWG in Haiti</w:t>
      </w:r>
    </w:p>
  </w:endnote>
  <w:endnote w:id="10">
    <w:p w:rsidR="0048081C" w:rsidRDefault="0048081C">
      <w:pPr>
        <w:pStyle w:val="EndnoteText"/>
      </w:pPr>
      <w:r>
        <w:rPr>
          <w:rStyle w:val="EndnoteReference"/>
        </w:rPr>
        <w:endnoteRef/>
      </w:r>
      <w:r>
        <w:t xml:space="preserve"> </w:t>
      </w:r>
      <w:r w:rsidRPr="009336DA">
        <w:rPr>
          <w:sz w:val="16"/>
          <w:szCs w:val="16"/>
        </w:rPr>
        <w:t xml:space="preserve">New York Times 2015 </w:t>
      </w:r>
      <w:hyperlink r:id="rId3" w:history="1">
        <w:r w:rsidRPr="00216234">
          <w:rPr>
            <w:rStyle w:val="Hyperlink"/>
            <w:sz w:val="16"/>
            <w:szCs w:val="16"/>
          </w:rPr>
          <w:t>http://www.nytimes.com/2015/12/13/world/americas/fearful-haitian-migrants-flee-dominican-republic-for-camps.html?_r=0</w:t>
        </w:r>
      </w:hyperlink>
      <w:r>
        <w:rPr>
          <w:sz w:val="16"/>
          <w:szCs w:val="16"/>
        </w:rPr>
        <w:t xml:space="preserve"> </w:t>
      </w:r>
    </w:p>
  </w:endnote>
  <w:endnote w:id="11">
    <w:p w:rsidR="0048081C" w:rsidRDefault="0048081C">
      <w:pPr>
        <w:pStyle w:val="EndnoteText"/>
      </w:pPr>
      <w:r>
        <w:rPr>
          <w:rStyle w:val="EndnoteReference"/>
        </w:rPr>
        <w:endnoteRef/>
      </w:r>
      <w:r>
        <w:t xml:space="preserve"> </w:t>
      </w:r>
      <w:r w:rsidRPr="00C34C5D">
        <w:rPr>
          <w:sz w:val="16"/>
          <w:szCs w:val="16"/>
        </w:rPr>
        <w:t>USAID Women &amp; Gender Factsheet January 2016</w:t>
      </w:r>
    </w:p>
  </w:endnote>
  <w:endnote w:id="12">
    <w:p w:rsidR="0048081C" w:rsidRDefault="0048081C">
      <w:pPr>
        <w:pStyle w:val="EndnoteText"/>
      </w:pPr>
      <w:r>
        <w:rPr>
          <w:rStyle w:val="EndnoteReference"/>
        </w:rPr>
        <w:endnoteRef/>
      </w:r>
      <w:r>
        <w:t xml:space="preserve"> </w:t>
      </w:r>
      <w:r w:rsidRPr="002D392B">
        <w:rPr>
          <w:sz w:val="16"/>
          <w:szCs w:val="16"/>
        </w:rPr>
        <w:t>Save the Children statistics</w:t>
      </w:r>
      <w:r>
        <w:t xml:space="preserve"> </w:t>
      </w:r>
      <w:hyperlink r:id="rId4" w:history="1">
        <w:r w:rsidRPr="002D392B">
          <w:rPr>
            <w:rStyle w:val="Hyperlink"/>
            <w:sz w:val="16"/>
            <w:szCs w:val="16"/>
          </w:rPr>
          <w:t>http://www.savethechildren.org/site/c.8rKLIXMGIpI4E/b.6151435/k.B1C9/Haiti.htm</w:t>
        </w:r>
      </w:hyperlink>
      <w:r>
        <w:t xml:space="preserve"> </w:t>
      </w:r>
    </w:p>
  </w:endnote>
  <w:endnote w:id="13">
    <w:p w:rsidR="0048081C" w:rsidRPr="00B26BE1" w:rsidRDefault="0048081C">
      <w:pPr>
        <w:pStyle w:val="EndnoteText"/>
        <w:rPr>
          <w:sz w:val="16"/>
          <w:szCs w:val="16"/>
        </w:rPr>
      </w:pPr>
      <w:r w:rsidRPr="00B26BE1">
        <w:rPr>
          <w:rStyle w:val="EndnoteReference"/>
          <w:sz w:val="16"/>
          <w:szCs w:val="16"/>
        </w:rPr>
        <w:endnoteRef/>
      </w:r>
      <w:r w:rsidRPr="00B26BE1">
        <w:rPr>
          <w:sz w:val="16"/>
          <w:szCs w:val="16"/>
        </w:rPr>
        <w:t xml:space="preserve"> Overview of underlying causes of girls’ marginalisation in the Haitian education system 2013, Jane </w:t>
      </w:r>
      <w:proofErr w:type="spellStart"/>
      <w:r w:rsidRPr="00B26BE1">
        <w:rPr>
          <w:sz w:val="16"/>
          <w:szCs w:val="16"/>
        </w:rPr>
        <w:t>Kellum</w:t>
      </w:r>
      <w:proofErr w:type="spellEnd"/>
      <w:r w:rsidRPr="00B26BE1">
        <w:rPr>
          <w:sz w:val="16"/>
          <w:szCs w:val="16"/>
        </w:rPr>
        <w:t>, CARE Haiti</w:t>
      </w:r>
    </w:p>
  </w:endnote>
  <w:endnote w:id="14">
    <w:p w:rsidR="0048081C" w:rsidRDefault="0048081C">
      <w:pPr>
        <w:pStyle w:val="EndnoteText"/>
      </w:pPr>
      <w:r>
        <w:rPr>
          <w:rStyle w:val="EndnoteReference"/>
        </w:rPr>
        <w:endnoteRef/>
      </w:r>
      <w:r>
        <w:t xml:space="preserve"> </w:t>
      </w:r>
      <w:r w:rsidRPr="00B26BE1">
        <w:rPr>
          <w:sz w:val="16"/>
          <w:szCs w:val="16"/>
        </w:rPr>
        <w:t>Governance and Social Development Resource Centre Helpdesk Research Report 2013: VAWG in Haiti</w:t>
      </w:r>
    </w:p>
  </w:endnote>
  <w:endnote w:id="15">
    <w:p w:rsidR="0048081C" w:rsidRDefault="0048081C">
      <w:pPr>
        <w:pStyle w:val="EndnoteText"/>
      </w:pPr>
      <w:r>
        <w:rPr>
          <w:rStyle w:val="EndnoteReference"/>
        </w:rPr>
        <w:endnoteRef/>
      </w:r>
      <w:r>
        <w:t xml:space="preserve"> </w:t>
      </w:r>
      <w:r w:rsidRPr="00B26BE1">
        <w:rPr>
          <w:sz w:val="16"/>
          <w:szCs w:val="16"/>
        </w:rPr>
        <w:t xml:space="preserve">Human Rights Watch Written Statement of Amanda </w:t>
      </w:r>
      <w:proofErr w:type="spellStart"/>
      <w:r w:rsidRPr="00B26BE1">
        <w:rPr>
          <w:sz w:val="16"/>
          <w:szCs w:val="16"/>
        </w:rPr>
        <w:t>Klasing</w:t>
      </w:r>
      <w:proofErr w:type="spellEnd"/>
      <w:r w:rsidRPr="00B26BE1">
        <w:rPr>
          <w:sz w:val="16"/>
          <w:szCs w:val="16"/>
        </w:rPr>
        <w:t xml:space="preserve"> 2014</w:t>
      </w:r>
    </w:p>
  </w:endnote>
  <w:endnote w:id="16">
    <w:p w:rsidR="0048081C" w:rsidRDefault="0048081C">
      <w:pPr>
        <w:pStyle w:val="EndnoteText"/>
      </w:pPr>
      <w:r w:rsidRPr="00B26BE1">
        <w:rPr>
          <w:rStyle w:val="EndnoteReference"/>
          <w:sz w:val="16"/>
          <w:szCs w:val="16"/>
        </w:rPr>
        <w:endnoteRef/>
      </w:r>
      <w:r w:rsidRPr="00B26BE1">
        <w:rPr>
          <w:sz w:val="16"/>
          <w:szCs w:val="16"/>
        </w:rPr>
        <w:t xml:space="preserve"> Human Rights Watch Written Statement of Amanda </w:t>
      </w:r>
      <w:proofErr w:type="spellStart"/>
      <w:r w:rsidRPr="00B26BE1">
        <w:rPr>
          <w:sz w:val="16"/>
          <w:szCs w:val="16"/>
        </w:rPr>
        <w:t>Klasing</w:t>
      </w:r>
      <w:proofErr w:type="spellEnd"/>
      <w:r w:rsidRPr="00B26BE1">
        <w:rPr>
          <w:sz w:val="16"/>
          <w:szCs w:val="16"/>
        </w:rPr>
        <w:t xml:space="preserve"> 2014</w:t>
      </w:r>
    </w:p>
  </w:endnote>
  <w:endnote w:id="17">
    <w:p w:rsidR="0048081C" w:rsidRDefault="0048081C">
      <w:pPr>
        <w:pStyle w:val="EndnoteText"/>
      </w:pPr>
      <w:r>
        <w:rPr>
          <w:rStyle w:val="EndnoteReference"/>
        </w:rPr>
        <w:endnoteRef/>
      </w:r>
      <w:r>
        <w:t xml:space="preserve"> </w:t>
      </w:r>
      <w:r w:rsidRPr="0084233F">
        <w:rPr>
          <w:sz w:val="16"/>
          <w:szCs w:val="16"/>
        </w:rPr>
        <w:t>CARE Haiti Hurricane Quotes from the Field 7</w:t>
      </w:r>
      <w:r w:rsidRPr="0084233F">
        <w:rPr>
          <w:sz w:val="16"/>
          <w:szCs w:val="16"/>
          <w:vertAlign w:val="superscript"/>
        </w:rPr>
        <w:t>th</w:t>
      </w:r>
      <w:r w:rsidRPr="0084233F">
        <w:rPr>
          <w:sz w:val="16"/>
          <w:szCs w:val="16"/>
        </w:rPr>
        <w:t xml:space="preserve"> October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57" w:rsidRDefault="001C1557" w:rsidP="001C1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557" w:rsidRDefault="001C1557" w:rsidP="001C1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57" w:rsidRPr="00016919" w:rsidRDefault="001C1557" w:rsidP="001C1557">
    <w:pPr>
      <w:pStyle w:val="Footer"/>
      <w:pBdr>
        <w:top w:val="single" w:sz="4" w:space="1" w:color="auto"/>
        <w:between w:val="single" w:sz="4" w:space="1" w:color="auto"/>
      </w:pBdr>
      <w:tabs>
        <w:tab w:val="clear" w:pos="8640"/>
        <w:tab w:val="right" w:pos="9746"/>
      </w:tabs>
      <w:rPr>
        <w:rFonts w:ascii="Calibri" w:hAnsi="Calibri"/>
        <w:sz w:val="16"/>
        <w:szCs w:val="16"/>
      </w:rPr>
    </w:pPr>
    <w:r w:rsidRPr="00576C65">
      <w:rPr>
        <w:rFonts w:ascii="Arial Black" w:hAnsi="Arial Black" w:cs="Arial"/>
        <w:b/>
        <w:color w:val="ED7D31"/>
        <w:sz w:val="20"/>
        <w:szCs w:val="20"/>
      </w:rPr>
      <w:t>Gender in Emergencies</w:t>
    </w:r>
    <w:r>
      <w:rPr>
        <w:rFonts w:ascii="Calibri" w:hAnsi="Calibri"/>
        <w:sz w:val="16"/>
        <w:szCs w:val="16"/>
      </w:rPr>
      <w:tab/>
    </w:r>
    <w:r w:rsidRPr="007C69AB">
      <w:rPr>
        <w:rFonts w:ascii="Calibri" w:hAnsi="Calibri"/>
        <w:sz w:val="16"/>
        <w:szCs w:val="16"/>
      </w:rPr>
      <w:t xml:space="preserve">Page </w:t>
    </w:r>
    <w:r w:rsidRPr="007C69AB">
      <w:rPr>
        <w:rFonts w:ascii="Calibri" w:hAnsi="Calibri"/>
        <w:sz w:val="16"/>
        <w:szCs w:val="16"/>
      </w:rPr>
      <w:fldChar w:fldCharType="begin"/>
    </w:r>
    <w:r w:rsidRPr="007C69AB">
      <w:rPr>
        <w:rFonts w:ascii="Calibri" w:hAnsi="Calibri"/>
        <w:sz w:val="16"/>
        <w:szCs w:val="16"/>
      </w:rPr>
      <w:instrText xml:space="preserve"> PAGE   \* MERGEFORMAT </w:instrText>
    </w:r>
    <w:r w:rsidRPr="007C69AB">
      <w:rPr>
        <w:rFonts w:ascii="Calibri" w:hAnsi="Calibri"/>
        <w:sz w:val="16"/>
        <w:szCs w:val="16"/>
      </w:rPr>
      <w:fldChar w:fldCharType="separate"/>
    </w:r>
    <w:r w:rsidR="00F21159">
      <w:rPr>
        <w:rFonts w:ascii="Calibri" w:hAnsi="Calibri"/>
        <w:noProof/>
        <w:sz w:val="16"/>
        <w:szCs w:val="16"/>
      </w:rPr>
      <w:t>2</w:t>
    </w:r>
    <w:r w:rsidRPr="007C69AB">
      <w:rPr>
        <w:rFonts w:ascii="Calibri" w:hAnsi="Calibri"/>
        <w:noProof/>
        <w:sz w:val="16"/>
        <w:szCs w:val="16"/>
      </w:rPr>
      <w:fldChar w:fldCharType="end"/>
    </w:r>
    <w:r>
      <w:rPr>
        <w:rFonts w:ascii="Calibri" w:hAnsi="Calibri"/>
        <w:noProof/>
        <w:sz w:val="16"/>
        <w:szCs w:val="16"/>
      </w:rPr>
      <w:t xml:space="preserve"> </w:t>
    </w:r>
  </w:p>
  <w:p w:rsidR="001C1557" w:rsidRPr="00D31A56" w:rsidRDefault="00D31A56" w:rsidP="00D31A56">
    <w:pPr>
      <w:pStyle w:val="Footer"/>
      <w:jc w:val="right"/>
      <w:rPr>
        <w:rFonts w:ascii="Arial" w:hAnsi="Arial" w:cs="Arial"/>
        <w:sz w:val="20"/>
        <w:szCs w:val="20"/>
      </w:rPr>
    </w:pPr>
    <w:r>
      <w:rPr>
        <w:rFonts w:ascii="Arial" w:hAnsi="Arial" w:cs="Arial"/>
        <w:sz w:val="20"/>
        <w:szCs w:val="20"/>
      </w:rPr>
      <w:t>D</w:t>
    </w:r>
    <w:r w:rsidR="0036368A" w:rsidRPr="0036368A">
      <w:rPr>
        <w:rFonts w:ascii="Arial" w:hAnsi="Arial" w:cs="Arial"/>
        <w:sz w:val="20"/>
        <w:szCs w:val="20"/>
      </w:rPr>
      <w:t>RAFT 1. 07/10/2016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1C" w:rsidRPr="0036368A" w:rsidRDefault="00887A0E" w:rsidP="0036368A">
    <w:pPr>
      <w:pStyle w:val="Footer"/>
      <w:jc w:val="right"/>
      <w:rPr>
        <w:rFonts w:ascii="Arial" w:hAnsi="Arial" w:cs="Arial"/>
        <w:sz w:val="20"/>
        <w:szCs w:val="20"/>
      </w:rPr>
    </w:pPr>
    <w:r w:rsidRPr="0036368A">
      <w:rPr>
        <w:rFonts w:ascii="Arial" w:hAnsi="Arial" w:cs="Arial"/>
        <w:noProof/>
        <w:sz w:val="20"/>
        <w:szCs w:val="20"/>
        <w:lang w:val="en-AU" w:eastAsia="en-AU"/>
      </w:rPr>
      <w:drawing>
        <wp:anchor distT="0" distB="0" distL="114300" distR="114300" simplePos="0" relativeHeight="251664896" behindDoc="1" locked="0" layoutInCell="1" allowOverlap="1" wp14:anchorId="20AAC347" wp14:editId="52124B31">
          <wp:simplePos x="0" y="0"/>
          <wp:positionH relativeFrom="column">
            <wp:posOffset>-7620</wp:posOffset>
          </wp:positionH>
          <wp:positionV relativeFrom="paragraph">
            <wp:posOffset>84455</wp:posOffset>
          </wp:positionV>
          <wp:extent cx="657225" cy="600075"/>
          <wp:effectExtent l="0" t="0" r="9525" b="9525"/>
          <wp:wrapNone/>
          <wp:docPr id="9" name="Picture 11" descr="Description: 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word templat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68A" w:rsidRPr="0036368A">
      <w:rPr>
        <w:rFonts w:ascii="Arial" w:hAnsi="Arial" w:cs="Arial"/>
        <w:sz w:val="20"/>
        <w:szCs w:val="20"/>
      </w:rPr>
      <w:t>DRAFT 1. 07/10/2016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C9" w:rsidRDefault="004164C9">
      <w:r>
        <w:separator/>
      </w:r>
    </w:p>
  </w:footnote>
  <w:footnote w:type="continuationSeparator" w:id="0">
    <w:p w:rsidR="004164C9" w:rsidRDefault="0041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57" w:rsidRDefault="00887A0E">
    <w:pPr>
      <w:pStyle w:val="Header"/>
    </w:pPr>
    <w:r>
      <w:rPr>
        <w:noProof/>
        <w:lang w:val="en-AU" w:eastAsia="en-AU"/>
      </w:rPr>
      <mc:AlternateContent>
        <mc:Choice Requires="wps">
          <w:drawing>
            <wp:anchor distT="0" distB="0" distL="114300" distR="114300" simplePos="0" relativeHeight="251657728" behindDoc="0" locked="0" layoutInCell="0" allowOverlap="1" wp14:anchorId="45561C0C" wp14:editId="137ED9D8">
              <wp:simplePos x="0" y="0"/>
              <wp:positionH relativeFrom="page">
                <wp:posOffset>6953250</wp:posOffset>
              </wp:positionH>
              <wp:positionV relativeFrom="page">
                <wp:posOffset>7510780</wp:posOffset>
              </wp:positionV>
              <wp:extent cx="532765" cy="2183130"/>
              <wp:effectExtent l="0" t="0" r="0" b="25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557" w:rsidRPr="00F50062" w:rsidRDefault="001C1557">
                          <w:pPr>
                            <w:pStyle w:val="Footer"/>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561C0C" id="Rectangle 1" o:spid="_x0000_s1026" style="position:absolute;margin-left:547.5pt;margin-top:591.4pt;width:41.9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" o:allowincell="f" filled="f" stroked="f">
              <v:textbox style="layout-flow:vertical;mso-layout-flow-alt:bottom-to-top;mso-fit-shape-to-text:t">
                <w:txbxContent>
                  <w:p w:rsidR="001C1557" w:rsidRPr="00F50062" w:rsidRDefault="001C1557">
                    <w:pPr>
                      <w:pStyle w:val="Footer"/>
                      <w:rPr>
                        <w:rFonts w:ascii="Calibri Light" w:hAnsi="Calibri Light"/>
                        <w:sz w:val="44"/>
                        <w:szCs w:val="4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1C" w:rsidRDefault="00887A0E">
    <w:pPr>
      <w:pStyle w:val="Header"/>
    </w:pPr>
    <w:r>
      <w:rPr>
        <w:noProof/>
        <w:lang w:val="en-AU" w:eastAsia="en-AU"/>
      </w:rPr>
      <mc:AlternateContent>
        <mc:Choice Requires="wps">
          <w:drawing>
            <wp:anchor distT="0" distB="0" distL="114300" distR="114300" simplePos="0" relativeHeight="251662848" behindDoc="1" locked="0" layoutInCell="1" allowOverlap="1" wp14:anchorId="0477F303" wp14:editId="08B26EC5">
              <wp:simplePos x="0" y="0"/>
              <wp:positionH relativeFrom="column">
                <wp:posOffset>-680085</wp:posOffset>
              </wp:positionH>
              <wp:positionV relativeFrom="paragraph">
                <wp:posOffset>1631950</wp:posOffset>
              </wp:positionV>
              <wp:extent cx="7562215" cy="1800860"/>
              <wp:effectExtent l="3810"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800860"/>
                      </a:xfrm>
                      <a:prstGeom prst="rect">
                        <a:avLst/>
                      </a:prstGeom>
                      <a:solidFill>
                        <a:srgbClr val="F79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FB8A" id="Rectangle 5" o:spid="_x0000_s1026" style="position:absolute;margin-left:-53.55pt;margin-top:128.5pt;width:595.45pt;height:14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" fillcolor="#f79646" stroked="f"/>
          </w:pict>
        </mc:Fallback>
      </mc:AlternateContent>
    </w:r>
    <w:r>
      <w:rPr>
        <w:noProof/>
        <w:lang w:val="en-AU" w:eastAsia="en-AU"/>
      </w:rPr>
      <w:drawing>
        <wp:anchor distT="0" distB="0" distL="114300" distR="114300" simplePos="0" relativeHeight="251661824" behindDoc="1" locked="0" layoutInCell="1" allowOverlap="1" wp14:anchorId="40502347" wp14:editId="5D663EF8">
          <wp:simplePos x="0" y="0"/>
          <wp:positionH relativeFrom="column">
            <wp:posOffset>-732155</wp:posOffset>
          </wp:positionH>
          <wp:positionV relativeFrom="paragraph">
            <wp:posOffset>-457835</wp:posOffset>
          </wp:positionV>
          <wp:extent cx="7620000" cy="2219325"/>
          <wp:effectExtent l="0" t="0" r="0" b="9525"/>
          <wp:wrapNone/>
          <wp:docPr id="8" name="Picture 6" descr="030510 CAMBODIA10 IMG_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0510 CAMBODIA10 IMG_43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7030"/>
    <w:multiLevelType w:val="hybridMultilevel"/>
    <w:tmpl w:val="5B8EE84A"/>
    <w:lvl w:ilvl="0" w:tplc="0C090017">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C38A2"/>
    <w:multiLevelType w:val="hybridMultilevel"/>
    <w:tmpl w:val="C18457F4"/>
    <w:lvl w:ilvl="0" w:tplc="0C090017">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646B4"/>
    <w:multiLevelType w:val="multilevel"/>
    <w:tmpl w:val="6BEC95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38036DF"/>
    <w:multiLevelType w:val="hybridMultilevel"/>
    <w:tmpl w:val="AA24C67C"/>
    <w:lvl w:ilvl="0" w:tplc="52A4D1F8">
      <w:start w:val="1"/>
      <w:numFmt w:val="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3401"/>
    <w:multiLevelType w:val="hybridMultilevel"/>
    <w:tmpl w:val="3DC29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44E15"/>
    <w:multiLevelType w:val="hybridMultilevel"/>
    <w:tmpl w:val="6DCE0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581EDF"/>
    <w:multiLevelType w:val="hybridMultilevel"/>
    <w:tmpl w:val="2F820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50857"/>
    <w:multiLevelType w:val="hybridMultilevel"/>
    <w:tmpl w:val="21BA2A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18C33828"/>
    <w:multiLevelType w:val="hybridMultilevel"/>
    <w:tmpl w:val="073018CC"/>
    <w:lvl w:ilvl="0" w:tplc="0C090017">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043BFF"/>
    <w:multiLevelType w:val="hybridMultilevel"/>
    <w:tmpl w:val="71A2CE74"/>
    <w:lvl w:ilvl="0" w:tplc="04090001">
      <w:start w:val="1"/>
      <w:numFmt w:val="bullet"/>
      <w:lvlText w:val=""/>
      <w:lvlJc w:val="left"/>
      <w:pPr>
        <w:tabs>
          <w:tab w:val="num" w:pos="720"/>
        </w:tabs>
        <w:ind w:left="720" w:hanging="360"/>
      </w:pPr>
      <w:rPr>
        <w:rFonts w:ascii="Symbol" w:hAnsi="Symbol" w:hint="default"/>
      </w:rPr>
    </w:lvl>
    <w:lvl w:ilvl="1" w:tplc="ADC86A12">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46D83"/>
    <w:multiLevelType w:val="hybridMultilevel"/>
    <w:tmpl w:val="230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C45466"/>
    <w:multiLevelType w:val="multilevel"/>
    <w:tmpl w:val="299C8D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F42778B"/>
    <w:multiLevelType w:val="hybridMultilevel"/>
    <w:tmpl w:val="B402551C"/>
    <w:lvl w:ilvl="0" w:tplc="203C184E">
      <w:start w:val="3"/>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616D3"/>
    <w:multiLevelType w:val="hybridMultilevel"/>
    <w:tmpl w:val="D2048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F23F9B"/>
    <w:multiLevelType w:val="hybridMultilevel"/>
    <w:tmpl w:val="15B4FF58"/>
    <w:lvl w:ilvl="0" w:tplc="BD90BD9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67C24"/>
    <w:multiLevelType w:val="hybridMultilevel"/>
    <w:tmpl w:val="4C86248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35F2B"/>
    <w:multiLevelType w:val="hybridMultilevel"/>
    <w:tmpl w:val="1288553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AF63C8"/>
    <w:multiLevelType w:val="hybridMultilevel"/>
    <w:tmpl w:val="65F035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A4D8C"/>
    <w:multiLevelType w:val="hybridMultilevel"/>
    <w:tmpl w:val="11D43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417793"/>
    <w:multiLevelType w:val="hybridMultilevel"/>
    <w:tmpl w:val="E04EC3B8"/>
    <w:lvl w:ilvl="0" w:tplc="843C5A4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A62D0C"/>
    <w:multiLevelType w:val="hybridMultilevel"/>
    <w:tmpl w:val="DF3CAE2C"/>
    <w:lvl w:ilvl="0" w:tplc="1E90BC1A">
      <w:start w:val="1"/>
      <w:numFmt w:val="bullet"/>
      <w:lvlText w:val="o"/>
      <w:lvlJc w:val="left"/>
      <w:pPr>
        <w:tabs>
          <w:tab w:val="num" w:pos="927"/>
        </w:tabs>
        <w:ind w:left="927" w:hanging="360"/>
      </w:pPr>
      <w:rPr>
        <w:rFonts w:ascii="Courier New" w:hAnsi="Courier New" w:hint="default"/>
        <w:b w:val="0"/>
        <w:i w:val="0"/>
        <w:sz w:val="22"/>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6"/>
  </w:num>
  <w:num w:numId="5">
    <w:abstractNumId w:val="17"/>
  </w:num>
  <w:num w:numId="6">
    <w:abstractNumId w:val="14"/>
  </w:num>
  <w:num w:numId="7">
    <w:abstractNumId w:val="18"/>
  </w:num>
  <w:num w:numId="8">
    <w:abstractNumId w:val="5"/>
  </w:num>
  <w:num w:numId="9">
    <w:abstractNumId w:val="3"/>
  </w:num>
  <w:num w:numId="10">
    <w:abstractNumId w:val="20"/>
  </w:num>
  <w:num w:numId="11">
    <w:abstractNumId w:val="16"/>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6C"/>
    <w:rsid w:val="0000674F"/>
    <w:rsid w:val="001478D0"/>
    <w:rsid w:val="00155859"/>
    <w:rsid w:val="00171BA2"/>
    <w:rsid w:val="001B3BA1"/>
    <w:rsid w:val="001C1557"/>
    <w:rsid w:val="00271F10"/>
    <w:rsid w:val="0029096F"/>
    <w:rsid w:val="00291453"/>
    <w:rsid w:val="002A24B4"/>
    <w:rsid w:val="002D392B"/>
    <w:rsid w:val="0031114D"/>
    <w:rsid w:val="0031355D"/>
    <w:rsid w:val="0036368A"/>
    <w:rsid w:val="003D0D78"/>
    <w:rsid w:val="00400E50"/>
    <w:rsid w:val="00401118"/>
    <w:rsid w:val="004164C9"/>
    <w:rsid w:val="004253C3"/>
    <w:rsid w:val="004356BD"/>
    <w:rsid w:val="0046570C"/>
    <w:rsid w:val="0048081C"/>
    <w:rsid w:val="0049497F"/>
    <w:rsid w:val="0049621D"/>
    <w:rsid w:val="004A76C4"/>
    <w:rsid w:val="004B06DD"/>
    <w:rsid w:val="00500C84"/>
    <w:rsid w:val="00550919"/>
    <w:rsid w:val="00550B36"/>
    <w:rsid w:val="005A7A3D"/>
    <w:rsid w:val="0060642F"/>
    <w:rsid w:val="00632A70"/>
    <w:rsid w:val="006A4A2F"/>
    <w:rsid w:val="006F7ED8"/>
    <w:rsid w:val="00723BA8"/>
    <w:rsid w:val="007354E3"/>
    <w:rsid w:val="007D2ED8"/>
    <w:rsid w:val="007D38F1"/>
    <w:rsid w:val="0084233F"/>
    <w:rsid w:val="00870A39"/>
    <w:rsid w:val="00887A0E"/>
    <w:rsid w:val="008B4A64"/>
    <w:rsid w:val="008C6A55"/>
    <w:rsid w:val="008D2288"/>
    <w:rsid w:val="008E5243"/>
    <w:rsid w:val="009336DA"/>
    <w:rsid w:val="009D40DB"/>
    <w:rsid w:val="00AC4A43"/>
    <w:rsid w:val="00B052D4"/>
    <w:rsid w:val="00B26BE1"/>
    <w:rsid w:val="00B42468"/>
    <w:rsid w:val="00B5032A"/>
    <w:rsid w:val="00B53F30"/>
    <w:rsid w:val="00B73A8E"/>
    <w:rsid w:val="00BD6F8E"/>
    <w:rsid w:val="00BF5B43"/>
    <w:rsid w:val="00C13688"/>
    <w:rsid w:val="00C21505"/>
    <w:rsid w:val="00C24589"/>
    <w:rsid w:val="00C34C5D"/>
    <w:rsid w:val="00C429E6"/>
    <w:rsid w:val="00CB3B30"/>
    <w:rsid w:val="00CD3FAF"/>
    <w:rsid w:val="00CF7201"/>
    <w:rsid w:val="00D31A56"/>
    <w:rsid w:val="00D37B36"/>
    <w:rsid w:val="00DC7875"/>
    <w:rsid w:val="00E7484C"/>
    <w:rsid w:val="00F14A6C"/>
    <w:rsid w:val="00F21159"/>
    <w:rsid w:val="00F84B25"/>
    <w:rsid w:val="00FA10CA"/>
    <w:rsid w:val="00FE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B2513E-850D-4328-8C7E-2225D160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8081C"/>
    <w:pPr>
      <w:keepNext/>
      <w:keepLines/>
      <w:framePr w:hSpace="181" w:wrap="around" w:vAnchor="text" w:hAnchor="margin" w:y="-34"/>
      <w:spacing w:line="360" w:lineRule="auto"/>
      <w:outlineLvl w:val="0"/>
    </w:pPr>
    <w:rPr>
      <w:rFonts w:ascii="HelveticaNeueLT Std" w:hAnsi="HelveticaNeueLT Std"/>
      <w:b/>
      <w:bCs/>
      <w:color w:val="E36C0A"/>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271E3"/>
    <w:rPr>
      <w:sz w:val="20"/>
      <w:szCs w:val="20"/>
      <w:lang w:val="en-US" w:eastAsia="en-US"/>
    </w:rPr>
  </w:style>
  <w:style w:type="character" w:customStyle="1" w:styleId="CommentTextChar">
    <w:name w:val="Comment Text Char"/>
    <w:link w:val="CommentText"/>
    <w:uiPriority w:val="99"/>
    <w:rsid w:val="00B271E3"/>
    <w:rPr>
      <w:lang w:val="en-US" w:eastAsia="en-US" w:bidi="ar-SA"/>
    </w:rPr>
  </w:style>
  <w:style w:type="character" w:styleId="Hyperlink">
    <w:name w:val="Hyperlink"/>
    <w:uiPriority w:val="99"/>
    <w:rsid w:val="0070236A"/>
    <w:rPr>
      <w:color w:val="0000FF"/>
      <w:u w:val="single"/>
    </w:rPr>
  </w:style>
  <w:style w:type="paragraph" w:styleId="FootnoteText">
    <w:name w:val="footnote text"/>
    <w:basedOn w:val="Normal"/>
    <w:semiHidden/>
    <w:rsid w:val="00431AA1"/>
    <w:rPr>
      <w:sz w:val="20"/>
      <w:szCs w:val="20"/>
    </w:rPr>
  </w:style>
  <w:style w:type="character" w:styleId="FootnoteReference">
    <w:name w:val="footnote reference"/>
    <w:aliases w:val="referencia nota al pie"/>
    <w:semiHidden/>
    <w:rsid w:val="00431AA1"/>
    <w:rPr>
      <w:vertAlign w:val="superscript"/>
    </w:rPr>
  </w:style>
  <w:style w:type="table" w:styleId="TableGrid">
    <w:name w:val="Table Grid"/>
    <w:basedOn w:val="TableNormal"/>
    <w:rsid w:val="0034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615618"/>
    <w:rPr>
      <w:lang w:val="en-US" w:eastAsia="en-US"/>
    </w:rPr>
  </w:style>
  <w:style w:type="paragraph" w:customStyle="1" w:styleId="Style-3">
    <w:name w:val="Style-3"/>
    <w:rsid w:val="00615618"/>
    <w:rPr>
      <w:lang w:val="en-US" w:eastAsia="en-US"/>
    </w:rPr>
  </w:style>
  <w:style w:type="paragraph" w:customStyle="1" w:styleId="MediumGrid1-Accent21">
    <w:name w:val="Medium Grid 1 - Accent 21"/>
    <w:basedOn w:val="Normal"/>
    <w:qFormat/>
    <w:rsid w:val="00DA5F9C"/>
    <w:pPr>
      <w:ind w:left="720"/>
      <w:contextualSpacing/>
      <w:jc w:val="both"/>
    </w:pPr>
    <w:rPr>
      <w:rFonts w:cs="Arial"/>
      <w:lang w:eastAsia="en-US"/>
    </w:rPr>
  </w:style>
  <w:style w:type="paragraph" w:styleId="Footer">
    <w:name w:val="footer"/>
    <w:basedOn w:val="Normal"/>
    <w:link w:val="FooterChar"/>
    <w:uiPriority w:val="99"/>
    <w:rsid w:val="00DA5F9C"/>
    <w:pPr>
      <w:tabs>
        <w:tab w:val="center" w:pos="4320"/>
        <w:tab w:val="right" w:pos="8640"/>
      </w:tabs>
    </w:pPr>
    <w:rPr>
      <w:lang w:val="en-US" w:eastAsia="en-US"/>
    </w:rPr>
  </w:style>
  <w:style w:type="character" w:styleId="PageNumber">
    <w:name w:val="page number"/>
    <w:basedOn w:val="DefaultParagraphFont"/>
    <w:rsid w:val="00802DA2"/>
  </w:style>
  <w:style w:type="paragraph" w:styleId="BodyText3">
    <w:name w:val="Body Text 3"/>
    <w:basedOn w:val="Normal"/>
    <w:link w:val="BodyText3Char"/>
    <w:rsid w:val="00DD6C77"/>
    <w:pPr>
      <w:spacing w:before="240"/>
    </w:pPr>
    <w:rPr>
      <w:rFonts w:ascii="Arial" w:hAnsi="Arial"/>
      <w:sz w:val="22"/>
      <w:lang w:val="en-US" w:eastAsia="en-US"/>
    </w:rPr>
  </w:style>
  <w:style w:type="character" w:customStyle="1" w:styleId="BodyText3Char">
    <w:name w:val="Body Text 3 Char"/>
    <w:link w:val="BodyText3"/>
    <w:rsid w:val="00DD6C77"/>
    <w:rPr>
      <w:rFonts w:ascii="Arial" w:hAnsi="Arial" w:cs="Arial"/>
      <w:sz w:val="22"/>
      <w:szCs w:val="24"/>
      <w:lang w:val="en-US" w:eastAsia="en-US"/>
    </w:rPr>
  </w:style>
  <w:style w:type="character" w:styleId="CommentReference">
    <w:name w:val="annotation reference"/>
    <w:uiPriority w:val="99"/>
    <w:rsid w:val="00DD6C77"/>
    <w:rPr>
      <w:sz w:val="16"/>
      <w:szCs w:val="16"/>
    </w:rPr>
  </w:style>
  <w:style w:type="paragraph" w:styleId="CommentSubject">
    <w:name w:val="annotation subject"/>
    <w:basedOn w:val="CommentText"/>
    <w:next w:val="CommentText"/>
    <w:link w:val="CommentSubjectChar"/>
    <w:rsid w:val="00DD6C77"/>
    <w:rPr>
      <w:b/>
      <w:bCs/>
      <w:lang w:val="en-GB" w:eastAsia="en-GB"/>
    </w:rPr>
  </w:style>
  <w:style w:type="character" w:customStyle="1" w:styleId="CommentSubjectChar">
    <w:name w:val="Comment Subject Char"/>
    <w:link w:val="CommentSubject"/>
    <w:rsid w:val="00DD6C77"/>
    <w:rPr>
      <w:b/>
      <w:bCs/>
      <w:lang w:val="en-GB" w:eastAsia="en-GB" w:bidi="ar-SA"/>
    </w:rPr>
  </w:style>
  <w:style w:type="paragraph" w:styleId="BalloonText">
    <w:name w:val="Balloon Text"/>
    <w:basedOn w:val="Normal"/>
    <w:link w:val="BalloonTextChar"/>
    <w:rsid w:val="00DD6C77"/>
    <w:rPr>
      <w:rFonts w:ascii="Segoe UI" w:hAnsi="Segoe UI"/>
      <w:sz w:val="18"/>
      <w:szCs w:val="18"/>
    </w:rPr>
  </w:style>
  <w:style w:type="character" w:customStyle="1" w:styleId="BalloonTextChar">
    <w:name w:val="Balloon Text Char"/>
    <w:link w:val="BalloonText"/>
    <w:rsid w:val="00DD6C77"/>
    <w:rPr>
      <w:rFonts w:ascii="Segoe UI" w:hAnsi="Segoe UI" w:cs="Segoe UI"/>
      <w:sz w:val="18"/>
      <w:szCs w:val="18"/>
      <w:lang w:val="en-GB" w:eastAsia="en-GB"/>
    </w:rPr>
  </w:style>
  <w:style w:type="paragraph" w:styleId="Header">
    <w:name w:val="header"/>
    <w:basedOn w:val="Normal"/>
    <w:link w:val="HeaderChar"/>
    <w:rsid w:val="00F50062"/>
    <w:pPr>
      <w:tabs>
        <w:tab w:val="center" w:pos="4513"/>
        <w:tab w:val="right" w:pos="9026"/>
      </w:tabs>
    </w:pPr>
  </w:style>
  <w:style w:type="character" w:customStyle="1" w:styleId="HeaderChar">
    <w:name w:val="Header Char"/>
    <w:link w:val="Header"/>
    <w:rsid w:val="00F50062"/>
    <w:rPr>
      <w:sz w:val="24"/>
      <w:szCs w:val="24"/>
      <w:lang w:val="en-GB" w:eastAsia="en-GB"/>
    </w:rPr>
  </w:style>
  <w:style w:type="character" w:customStyle="1" w:styleId="FooterChar">
    <w:name w:val="Footer Char"/>
    <w:link w:val="Footer"/>
    <w:uiPriority w:val="99"/>
    <w:rsid w:val="00F50062"/>
    <w:rPr>
      <w:sz w:val="24"/>
      <w:szCs w:val="24"/>
      <w:lang w:val="en-US" w:eastAsia="en-US"/>
    </w:rPr>
  </w:style>
  <w:style w:type="paragraph" w:customStyle="1" w:styleId="ColorfulList-Accent11">
    <w:name w:val="Colorful List - Accent 11"/>
    <w:basedOn w:val="Normal"/>
    <w:uiPriority w:val="34"/>
    <w:qFormat/>
    <w:rsid w:val="00CF68E1"/>
    <w:pPr>
      <w:ind w:left="720"/>
      <w:contextualSpacing/>
    </w:pPr>
    <w:rPr>
      <w:lang w:val="en-US" w:eastAsia="en-US"/>
    </w:rPr>
  </w:style>
  <w:style w:type="character" w:styleId="FollowedHyperlink">
    <w:name w:val="FollowedHyperlink"/>
    <w:rsid w:val="00C014DD"/>
    <w:rPr>
      <w:color w:val="954F72"/>
      <w:u w:val="single"/>
    </w:rPr>
  </w:style>
  <w:style w:type="paragraph" w:styleId="Subtitle">
    <w:name w:val="Subtitle"/>
    <w:basedOn w:val="Normal"/>
    <w:next w:val="Normal"/>
    <w:link w:val="SubtitleChar"/>
    <w:qFormat/>
    <w:rsid w:val="00557174"/>
    <w:pPr>
      <w:spacing w:after="120"/>
      <w:jc w:val="both"/>
    </w:pPr>
    <w:rPr>
      <w:rFonts w:ascii="Calibri" w:hAnsi="Calibri"/>
      <w:i/>
      <w:sz w:val="22"/>
      <w:szCs w:val="22"/>
    </w:rPr>
  </w:style>
  <w:style w:type="character" w:customStyle="1" w:styleId="SubtitleChar">
    <w:name w:val="Subtitle Char"/>
    <w:link w:val="Subtitle"/>
    <w:rsid w:val="00557174"/>
    <w:rPr>
      <w:rFonts w:ascii="Calibri" w:hAnsi="Calibri" w:cs="Arial"/>
      <w:i/>
      <w:sz w:val="22"/>
      <w:szCs w:val="22"/>
      <w:lang w:val="en-GB" w:eastAsia="en-GB"/>
    </w:rPr>
  </w:style>
  <w:style w:type="table" w:customStyle="1" w:styleId="BookTitle1">
    <w:name w:val="Book Title1"/>
    <w:basedOn w:val="TableNormal"/>
    <w:uiPriority w:val="60"/>
    <w:qFormat/>
    <w:rsid w:val="00A464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eading1Char">
    <w:name w:val="Heading 1 Char"/>
    <w:basedOn w:val="DefaultParagraphFont"/>
    <w:link w:val="Heading1"/>
    <w:uiPriority w:val="9"/>
    <w:rsid w:val="0048081C"/>
    <w:rPr>
      <w:rFonts w:ascii="HelveticaNeueLT Std" w:hAnsi="HelveticaNeueLT Std"/>
      <w:b/>
      <w:bCs/>
      <w:color w:val="E36C0A"/>
      <w:sz w:val="28"/>
      <w:szCs w:val="28"/>
      <w:lang w:val="en-AU" w:eastAsia="en-US"/>
    </w:rPr>
  </w:style>
  <w:style w:type="paragraph" w:styleId="EndnoteText">
    <w:name w:val="endnote text"/>
    <w:basedOn w:val="Normal"/>
    <w:link w:val="EndnoteTextChar"/>
    <w:rsid w:val="0048081C"/>
    <w:rPr>
      <w:sz w:val="20"/>
      <w:szCs w:val="20"/>
    </w:rPr>
  </w:style>
  <w:style w:type="character" w:customStyle="1" w:styleId="EndnoteTextChar">
    <w:name w:val="Endnote Text Char"/>
    <w:basedOn w:val="DefaultParagraphFont"/>
    <w:link w:val="EndnoteText"/>
    <w:rsid w:val="0048081C"/>
  </w:style>
  <w:style w:type="character" w:styleId="EndnoteReference">
    <w:name w:val="endnote reference"/>
    <w:basedOn w:val="DefaultParagraphFont"/>
    <w:rsid w:val="0048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53492">
      <w:bodyDiv w:val="1"/>
      <w:marLeft w:val="0"/>
      <w:marRight w:val="0"/>
      <w:marTop w:val="0"/>
      <w:marBottom w:val="0"/>
      <w:divBdr>
        <w:top w:val="none" w:sz="0" w:space="0" w:color="auto"/>
        <w:left w:val="none" w:sz="0" w:space="0" w:color="auto"/>
        <w:bottom w:val="none" w:sz="0" w:space="0" w:color="auto"/>
        <w:right w:val="none" w:sz="0" w:space="0" w:color="auto"/>
      </w:divBdr>
    </w:div>
    <w:div w:id="18580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ytimes.com/2015/12/13/world/americas/fearful-haitian-migrants-flee-dominican-republic-for-camps.html?_r=0" TargetMode="External"/><Relationship Id="rId2" Type="http://schemas.openxmlformats.org/officeDocument/2006/relationships/hyperlink" Target="http://hrbrief.org/2012/02/the-situation-of-women-and-girls-in-haiti-exemplifies-the-difficulties-of-post-natural-disaster-protection-of-human-rights/" TargetMode="External"/><Relationship Id="rId1" Type="http://schemas.openxmlformats.org/officeDocument/2006/relationships/hyperlink" Target="http://www.unwomen.org/en/news/stories/2011/1/un-women-on-the-ground-haiti-s-women-a-year-after-the-earthquake" TargetMode="External"/><Relationship Id="rId4" Type="http://schemas.openxmlformats.org/officeDocument/2006/relationships/hyperlink" Target="http://www.savethechildren.org/site/c.8rKLIXMGIpI4E/b.6151435/k.B1C9/Haiti.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1C0C-2CDF-4E3D-B3DE-5859C36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Guidelines for meaningfully including gender in funding proposals for emergency settings</vt:lpstr>
    </vt:vector>
  </TitlesOfParts>
  <Company>”Care International”</Company>
  <LinksUpToDate>false</LinksUpToDate>
  <CharactersWithSpaces>6639</CharactersWithSpaces>
  <SharedDoc>false</SharedDoc>
  <HLinks>
    <vt:vector size="24" baseType="variant">
      <vt:variant>
        <vt:i4>3801203</vt:i4>
      </vt:variant>
      <vt:variant>
        <vt:i4>9</vt:i4>
      </vt:variant>
      <vt:variant>
        <vt:i4>0</vt:i4>
      </vt:variant>
      <vt:variant>
        <vt:i4>5</vt:i4>
      </vt:variant>
      <vt:variant>
        <vt:lpwstr>http://www.savethechildren.org/site/c.8rKLIXMGIpI4E/b.6151435/k.B1C9/Haiti.htm</vt:lpwstr>
      </vt:variant>
      <vt:variant>
        <vt:lpwstr/>
      </vt:variant>
      <vt:variant>
        <vt:i4>8060930</vt:i4>
      </vt:variant>
      <vt:variant>
        <vt:i4>6</vt:i4>
      </vt:variant>
      <vt:variant>
        <vt:i4>0</vt:i4>
      </vt:variant>
      <vt:variant>
        <vt:i4>5</vt:i4>
      </vt:variant>
      <vt:variant>
        <vt:lpwstr>http://www.nytimes.com/2015/12/13/world/americas/fearful-haitian-migrants-flee-dominican-republic-for-camps.html?_r=0</vt:lpwstr>
      </vt:variant>
      <vt:variant>
        <vt:lpwstr/>
      </vt:variant>
      <vt:variant>
        <vt:i4>6357106</vt:i4>
      </vt:variant>
      <vt:variant>
        <vt:i4>3</vt:i4>
      </vt:variant>
      <vt:variant>
        <vt:i4>0</vt:i4>
      </vt:variant>
      <vt:variant>
        <vt:i4>5</vt:i4>
      </vt:variant>
      <vt:variant>
        <vt:lpwstr>http://hrbrief.org/2012/02/the-situation-of-women-and-girls-in-haiti-exemplifies-the-difficulties-of-post-natural-disaster-protection-of-human-rights/</vt:lpwstr>
      </vt:variant>
      <vt:variant>
        <vt:lpwstr/>
      </vt:variant>
      <vt:variant>
        <vt:i4>3473463</vt:i4>
      </vt:variant>
      <vt:variant>
        <vt:i4>0</vt:i4>
      </vt:variant>
      <vt:variant>
        <vt:i4>0</vt:i4>
      </vt:variant>
      <vt:variant>
        <vt:i4>5</vt:i4>
      </vt:variant>
      <vt:variant>
        <vt:lpwstr>http://www.unwomen.org/en/news/stories/2011/1/un-women-on-the-ground-haiti-s-women-a-year-after-the-earthquake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meaningfully including gender in funding proposals for emergency settings</dc:title>
  <dc:creator>Mereia Cano Vinas</dc:creator>
  <cp:lastModifiedBy>Quay, Isadora</cp:lastModifiedBy>
  <cp:revision>2</cp:revision>
  <cp:lastPrinted>2016-10-07T18:02:00Z</cp:lastPrinted>
  <dcterms:created xsi:type="dcterms:W3CDTF">2016-10-25T05:56:00Z</dcterms:created>
  <dcterms:modified xsi:type="dcterms:W3CDTF">2016-10-25T05:56:00Z</dcterms:modified>
</cp:coreProperties>
</file>