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7A" w:rsidRDefault="00AB3CB4" w:rsidP="00267092">
      <w:pPr>
        <w:contextualSpacing/>
        <w:jc w:val="both"/>
        <w:rPr>
          <w:rFonts w:cs="Arial"/>
          <w:b/>
          <w:color w:val="FFFFFF" w:themeColor="background1"/>
          <w:lang w:val="en-AU"/>
        </w:rPr>
      </w:pPr>
      <w:bookmarkStart w:id="0" w:name="_GoBack"/>
      <w:bookmarkEnd w:id="0"/>
      <w:r>
        <w:rPr>
          <w:noProof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34.05pt;margin-top:0;width:97.7pt;height:86.2pt;z-index:251658240;mso-wrap-edited:f" wrapcoords="-157 0 -157 21434 21600 21434 21600 0 -157 0">
            <v:imagedata r:id="rId8" o:title=""/>
            <w10:wrap type="tight"/>
          </v:shape>
          <o:OLEObject Type="Embed" ProgID="PBrush" ShapeID="_x0000_s2050" DrawAspect="Content" ObjectID="_1535196590" r:id="rId9"/>
        </w:object>
      </w:r>
    </w:p>
    <w:p w:rsidR="00267092" w:rsidRDefault="00C2297A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>
        <w:rPr>
          <w:rFonts w:cs="Arial"/>
          <w:b/>
          <w:color w:val="FFFFFF" w:themeColor="background1"/>
          <w:lang w:val="en-AU"/>
        </w:rPr>
        <w:t>Population</w:t>
      </w:r>
      <w:r w:rsidR="00267092" w:rsidRPr="000A6E5D">
        <w:rPr>
          <w:rFonts w:cs="Arial"/>
          <w:b/>
          <w:color w:val="FFFFFF" w:themeColor="background1"/>
          <w:lang w:val="en-AU"/>
        </w:rPr>
        <w:t xml:space="preserve">: </w:t>
      </w:r>
      <w:r w:rsidR="00D30412">
        <w:rPr>
          <w:rFonts w:cs="Arial"/>
          <w:b/>
          <w:color w:val="FFFFFF" w:themeColor="background1"/>
          <w:lang w:val="en-AU"/>
        </w:rPr>
        <w:t xml:space="preserve"> </w:t>
      </w:r>
      <w:r w:rsidR="00C073A7">
        <w:rPr>
          <w:rFonts w:cs="Arial"/>
          <w:b/>
          <w:color w:val="FFFFFF" w:themeColor="background1"/>
          <w:lang w:val="en-AU"/>
        </w:rPr>
        <w:t>50.6% male to 49.4</w:t>
      </w:r>
      <w:r w:rsidR="00267092" w:rsidRPr="00E71D4E">
        <w:rPr>
          <w:rFonts w:cs="Arial"/>
          <w:b/>
          <w:color w:val="FFFFFF" w:themeColor="background1"/>
          <w:lang w:val="en-AU"/>
        </w:rPr>
        <w:t>% female</w:t>
      </w:r>
      <w:r w:rsidR="00C80AFA">
        <w:rPr>
          <w:rStyle w:val="EndnoteReference"/>
          <w:rFonts w:cs="Arial"/>
          <w:b/>
          <w:color w:val="FFFFFF" w:themeColor="background1"/>
          <w:lang w:val="en-AU"/>
        </w:rPr>
        <w:endnoteReference w:id="1"/>
      </w:r>
    </w:p>
    <w:p w:rsidR="00267092" w:rsidRDefault="00267092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>
        <w:rPr>
          <w:rFonts w:cs="Arial"/>
          <w:b/>
          <w:color w:val="FFFFFF" w:themeColor="background1"/>
          <w:lang w:val="en-AU"/>
        </w:rPr>
        <w:t xml:space="preserve">Population </w:t>
      </w:r>
      <w:r w:rsidR="00D30412">
        <w:rPr>
          <w:rFonts w:cs="Arial"/>
          <w:b/>
          <w:color w:val="FFFFFF" w:themeColor="background1"/>
          <w:lang w:val="en-AU"/>
        </w:rPr>
        <w:t>by Age</w:t>
      </w:r>
      <w:r>
        <w:rPr>
          <w:rFonts w:cs="Arial"/>
          <w:b/>
          <w:color w:val="FFFFFF" w:themeColor="background1"/>
          <w:lang w:val="en-AU"/>
        </w:rPr>
        <w:t>: &lt;5y</w:t>
      </w:r>
      <w:r w:rsidR="00EE15F8">
        <w:rPr>
          <w:rFonts w:cs="Arial"/>
          <w:b/>
          <w:color w:val="FFFFFF" w:themeColor="background1"/>
          <w:lang w:val="en-AU"/>
        </w:rPr>
        <w:t>rs 14%; 5-19yrs 36</w:t>
      </w:r>
      <w:proofErr w:type="gramStart"/>
      <w:r w:rsidR="00D42D2E">
        <w:rPr>
          <w:rFonts w:cs="Arial"/>
          <w:b/>
          <w:color w:val="FFFFFF" w:themeColor="background1"/>
          <w:lang w:val="en-AU"/>
        </w:rPr>
        <w:t xml:space="preserve">%;  </w:t>
      </w:r>
      <w:r w:rsidR="00EE15F8">
        <w:rPr>
          <w:rFonts w:cs="Arial"/>
          <w:b/>
          <w:color w:val="FFFFFF" w:themeColor="background1"/>
          <w:lang w:val="en-AU"/>
        </w:rPr>
        <w:t>women</w:t>
      </w:r>
      <w:proofErr w:type="gramEnd"/>
      <w:r w:rsidR="00EE15F8">
        <w:rPr>
          <w:rFonts w:cs="Arial"/>
          <w:b/>
          <w:color w:val="FFFFFF" w:themeColor="background1"/>
          <w:lang w:val="en-AU"/>
        </w:rPr>
        <w:t xml:space="preserve"> 15-49yrs  25%; &gt;65yrs  5</w:t>
      </w:r>
      <w:r>
        <w:rPr>
          <w:rFonts w:cs="Arial"/>
          <w:b/>
          <w:color w:val="FFFFFF" w:themeColor="background1"/>
          <w:lang w:val="en-AU"/>
        </w:rPr>
        <w:t>%</w:t>
      </w:r>
      <w:r w:rsidR="00477DC0">
        <w:rPr>
          <w:rFonts w:cs="Arial"/>
          <w:b/>
          <w:color w:val="FFFFFF" w:themeColor="background1"/>
          <w:vertAlign w:val="superscript"/>
          <w:lang w:val="en-AU"/>
        </w:rPr>
        <w:t>1</w:t>
      </w:r>
      <w:r w:rsidR="00EE15F8">
        <w:rPr>
          <w:rFonts w:cs="Arial"/>
          <w:b/>
          <w:color w:val="FFFFFF" w:themeColor="background1"/>
          <w:lang w:val="en-AU"/>
        </w:rPr>
        <w:t xml:space="preserve">  </w:t>
      </w:r>
    </w:p>
    <w:p w:rsidR="00267092" w:rsidRDefault="00267092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>
        <w:rPr>
          <w:rFonts w:cs="Arial"/>
          <w:b/>
          <w:color w:val="FFFFFF" w:themeColor="background1"/>
          <w:lang w:val="en-AU"/>
        </w:rPr>
        <w:t xml:space="preserve">Average household </w:t>
      </w:r>
      <w:r w:rsidR="00C2297A">
        <w:rPr>
          <w:rFonts w:cs="Arial"/>
          <w:b/>
          <w:color w:val="FFFFFF" w:themeColor="background1"/>
          <w:lang w:val="en-AU"/>
        </w:rPr>
        <w:t>siz</w:t>
      </w:r>
      <w:r w:rsidR="00D42D2E">
        <w:rPr>
          <w:rFonts w:cs="Arial"/>
          <w:b/>
          <w:color w:val="FFFFFF" w:themeColor="background1"/>
          <w:lang w:val="en-AU"/>
        </w:rPr>
        <w:t xml:space="preserve">e: </w:t>
      </w:r>
      <w:r w:rsidR="00C2297A">
        <w:rPr>
          <w:rFonts w:cs="Arial"/>
          <w:b/>
          <w:color w:val="FFFFFF" w:themeColor="background1"/>
          <w:lang w:val="en-AU"/>
        </w:rPr>
        <w:t>6 (5</w:t>
      </w:r>
      <w:r w:rsidR="00D30412">
        <w:rPr>
          <w:rFonts w:cs="Arial"/>
          <w:b/>
          <w:color w:val="FFFFFF" w:themeColor="background1"/>
          <w:lang w:val="en-AU"/>
        </w:rPr>
        <w:t xml:space="preserve"> in KRI)</w:t>
      </w:r>
      <w:r w:rsidR="00C80AFA">
        <w:rPr>
          <w:rStyle w:val="EndnoteReference"/>
          <w:rFonts w:cs="Arial"/>
          <w:b/>
          <w:color w:val="FFFFFF" w:themeColor="background1"/>
          <w:lang w:val="en-AU"/>
        </w:rPr>
        <w:endnoteReference w:id="2"/>
      </w:r>
      <w:r>
        <w:rPr>
          <w:rFonts w:cs="Arial"/>
          <w:b/>
          <w:color w:val="FFFFFF" w:themeColor="background1"/>
          <w:lang w:val="en-AU"/>
        </w:rPr>
        <w:t xml:space="preserve"> </w:t>
      </w:r>
    </w:p>
    <w:p w:rsidR="00C2297A" w:rsidRDefault="00D30412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>
        <w:rPr>
          <w:rFonts w:cs="Arial"/>
          <w:b/>
          <w:color w:val="FFFFFF" w:themeColor="background1"/>
          <w:lang w:val="en-AU"/>
        </w:rPr>
        <w:t>Female headed households: 10</w:t>
      </w:r>
      <w:r w:rsidR="00267092">
        <w:rPr>
          <w:rFonts w:cs="Arial"/>
          <w:b/>
          <w:color w:val="FFFFFF" w:themeColor="background1"/>
          <w:lang w:val="en-AU"/>
        </w:rPr>
        <w:t>%</w:t>
      </w:r>
      <w:r w:rsidR="00C80AFA" w:rsidRPr="00907D46">
        <w:rPr>
          <w:rStyle w:val="EndnoteReference"/>
          <w:rFonts w:cs="Arial"/>
          <w:b/>
          <w:color w:val="FFFFFF" w:themeColor="background1"/>
          <w:lang w:val="en-AU"/>
        </w:rPr>
        <w:endnoteReference w:id="3"/>
      </w:r>
    </w:p>
    <w:p w:rsidR="00267092" w:rsidRPr="00E71D4E" w:rsidRDefault="00C2297A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>
        <w:rPr>
          <w:rFonts w:cs="Arial"/>
          <w:b/>
          <w:color w:val="FFFFFF" w:themeColor="background1"/>
          <w:lang w:val="en-AU"/>
        </w:rPr>
        <w:t xml:space="preserve">Polygamous households: </w:t>
      </w:r>
      <w:r w:rsidRPr="00C2297A">
        <w:rPr>
          <w:rFonts w:cs="Arial"/>
          <w:b/>
          <w:color w:val="FFFFFF" w:themeColor="background1"/>
          <w:lang w:val="en-AU"/>
        </w:rPr>
        <w:t>12.3</w:t>
      </w:r>
      <w:r w:rsidR="00ED6D63">
        <w:rPr>
          <w:rFonts w:cs="Arial"/>
          <w:b/>
          <w:color w:val="FFFFFF" w:themeColor="background1"/>
          <w:lang w:val="en-AU"/>
        </w:rPr>
        <w:t xml:space="preserve">% </w:t>
      </w:r>
      <w:r w:rsidR="00907D46">
        <w:rPr>
          <w:rFonts w:cs="Arial"/>
          <w:b/>
          <w:color w:val="FFFFFF" w:themeColor="background1"/>
          <w:lang w:val="en-AU"/>
        </w:rPr>
        <w:t>women with</w:t>
      </w:r>
      <w:r>
        <w:rPr>
          <w:rFonts w:cs="Arial"/>
          <w:b/>
          <w:color w:val="FFFFFF" w:themeColor="background1"/>
          <w:lang w:val="en-AU"/>
        </w:rPr>
        <w:t xml:space="preserve"> co-wife</w:t>
      </w:r>
      <w:r>
        <w:rPr>
          <w:rStyle w:val="EndnoteReference"/>
          <w:rFonts w:cs="Arial"/>
          <w:b/>
          <w:color w:val="FFFFFF" w:themeColor="background1"/>
          <w:lang w:val="en-AU"/>
        </w:rPr>
        <w:endnoteReference w:id="4"/>
      </w:r>
    </w:p>
    <w:p w:rsidR="00C80AFA" w:rsidRPr="009E7ADA" w:rsidRDefault="00C80AFA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 w:rsidRPr="009E7ADA">
        <w:rPr>
          <w:rFonts w:cs="Arial"/>
          <w:b/>
          <w:color w:val="FFFFFF" w:themeColor="background1"/>
          <w:lang w:val="en-AU"/>
        </w:rPr>
        <w:t>Lit</w:t>
      </w:r>
      <w:r w:rsidR="009E7ADA" w:rsidRPr="009E7ADA">
        <w:rPr>
          <w:rFonts w:cs="Arial"/>
          <w:b/>
          <w:color w:val="FFFFFF" w:themeColor="background1"/>
          <w:lang w:val="en-AU"/>
        </w:rPr>
        <w:t>eracy Rates 15-24 yrs: male 84.1</w:t>
      </w:r>
      <w:r w:rsidRPr="009E7ADA">
        <w:rPr>
          <w:rFonts w:cs="Arial"/>
          <w:b/>
          <w:color w:val="FFFFFF" w:themeColor="background1"/>
          <w:lang w:val="en-AU"/>
        </w:rPr>
        <w:t>%;</w:t>
      </w:r>
      <w:r w:rsidR="009E7ADA" w:rsidRPr="009E7ADA">
        <w:rPr>
          <w:rFonts w:cs="Arial"/>
          <w:b/>
          <w:color w:val="FFFFFF" w:themeColor="background1"/>
          <w:lang w:val="en-AU"/>
        </w:rPr>
        <w:t xml:space="preserve"> female 80.5</w:t>
      </w:r>
      <w:r w:rsidRPr="009E7ADA">
        <w:rPr>
          <w:rFonts w:cs="Arial"/>
          <w:b/>
          <w:color w:val="FFFFFF" w:themeColor="background1"/>
          <w:lang w:val="en-AU"/>
        </w:rPr>
        <w:t>%</w:t>
      </w:r>
      <w:r w:rsidRPr="009E7ADA">
        <w:rPr>
          <w:rStyle w:val="EndnoteReference"/>
          <w:rFonts w:cs="Arial"/>
          <w:b/>
          <w:color w:val="FFFFFF" w:themeColor="background1"/>
          <w:lang w:val="en-AU"/>
        </w:rPr>
        <w:endnoteReference w:id="5"/>
      </w:r>
      <w:r w:rsidRPr="009E7ADA">
        <w:rPr>
          <w:rFonts w:cs="Arial"/>
          <w:b/>
          <w:color w:val="FFFFFF" w:themeColor="background1"/>
          <w:lang w:val="en-AU"/>
        </w:rPr>
        <w:t xml:space="preserve"> </w:t>
      </w:r>
    </w:p>
    <w:p w:rsidR="00D0338F" w:rsidRPr="00D0338F" w:rsidRDefault="00267092" w:rsidP="00267092">
      <w:pPr>
        <w:pStyle w:val="ListParagraph"/>
        <w:numPr>
          <w:ilvl w:val="0"/>
          <w:numId w:val="4"/>
        </w:numPr>
        <w:ind w:left="4536" w:hanging="708"/>
        <w:jc w:val="both"/>
        <w:rPr>
          <w:rFonts w:cs="Arial"/>
          <w:b/>
          <w:color w:val="FFFFFF" w:themeColor="background1"/>
          <w:lang w:val="en-AU"/>
        </w:rPr>
      </w:pPr>
      <w:r w:rsidRPr="009E7ADA">
        <w:rPr>
          <w:rFonts w:cs="Arial"/>
          <w:b/>
          <w:color w:val="FFFFFF" w:themeColor="background1"/>
          <w:lang w:val="en-AU"/>
        </w:rPr>
        <w:t>Infant Mortality rates:</w:t>
      </w:r>
      <w:r w:rsidR="009E7ADA" w:rsidRPr="009E7ADA">
        <w:rPr>
          <w:rFonts w:cs="Arial"/>
          <w:b/>
          <w:color w:val="FFFFFF" w:themeColor="background1"/>
          <w:lang w:val="en-AU"/>
        </w:rPr>
        <w:t xml:space="preserve"> 28</w:t>
      </w:r>
      <w:r w:rsidRPr="009E7ADA">
        <w:rPr>
          <w:rFonts w:cs="Arial"/>
          <w:b/>
          <w:color w:val="FFFFFF" w:themeColor="background1"/>
          <w:lang w:val="en-AU"/>
        </w:rPr>
        <w:t xml:space="preserve"> per 1000 live births</w:t>
      </w:r>
      <w:r w:rsidRPr="009E7ADA">
        <w:rPr>
          <w:color w:val="FFFFFF" w:themeColor="background1"/>
        </w:rPr>
        <w:t xml:space="preserve"> </w:t>
      </w:r>
      <w:r w:rsidR="00477DC0">
        <w:rPr>
          <w:color w:val="FFFFFF" w:themeColor="background1"/>
          <w:vertAlign w:val="superscript"/>
        </w:rPr>
        <w:t>5</w:t>
      </w:r>
    </w:p>
    <w:p w:rsidR="00907D46" w:rsidRPr="00477DC0" w:rsidRDefault="00907D46" w:rsidP="00DF1BAB">
      <w:pPr>
        <w:pStyle w:val="ListParagraph"/>
        <w:ind w:left="4536"/>
        <w:jc w:val="both"/>
        <w:rPr>
          <w:rFonts w:cs="Arial"/>
          <w:b/>
          <w:color w:val="FFFFFF" w:themeColor="background1"/>
          <w:sz w:val="16"/>
          <w:szCs w:val="16"/>
          <w:lang w:val="en-AU"/>
        </w:rPr>
      </w:pPr>
    </w:p>
    <w:p w:rsidR="00030DBE" w:rsidRPr="00030DBE" w:rsidRDefault="00267092" w:rsidP="00267092">
      <w:pPr>
        <w:pStyle w:val="Heading1"/>
        <w:spacing w:line="276" w:lineRule="auto"/>
        <w:jc w:val="left"/>
      </w:pPr>
      <w:r>
        <w:t>Gender in Brief</w:t>
      </w:r>
    </w:p>
    <w:p w:rsidR="008B7669" w:rsidRPr="0017063C" w:rsidRDefault="00535A04" w:rsidP="009535BF">
      <w:pPr>
        <w:jc w:val="both"/>
        <w:rPr>
          <w:sz w:val="21"/>
          <w:szCs w:val="21"/>
          <w:lang w:val="en-AU"/>
        </w:rPr>
      </w:pPr>
      <w:r w:rsidRPr="0017063C">
        <w:rPr>
          <w:sz w:val="21"/>
          <w:szCs w:val="21"/>
          <w:lang w:val="en-AU"/>
        </w:rPr>
        <w:t>T</w:t>
      </w:r>
      <w:r w:rsidR="008B7669" w:rsidRPr="0017063C">
        <w:rPr>
          <w:sz w:val="21"/>
          <w:szCs w:val="21"/>
          <w:lang w:val="en-AU"/>
        </w:rPr>
        <w:t>he roles and responsibilities of women, men, boys and gir</w:t>
      </w:r>
      <w:r w:rsidR="00054037" w:rsidRPr="0017063C">
        <w:rPr>
          <w:sz w:val="21"/>
          <w:szCs w:val="21"/>
          <w:lang w:val="en-AU"/>
        </w:rPr>
        <w:t>ls</w:t>
      </w:r>
      <w:r w:rsidRPr="0017063C">
        <w:rPr>
          <w:sz w:val="21"/>
          <w:szCs w:val="21"/>
          <w:lang w:val="en-AU"/>
        </w:rPr>
        <w:t xml:space="preserve"> in Iraq</w:t>
      </w:r>
      <w:r w:rsidR="00054037" w:rsidRPr="0017063C">
        <w:rPr>
          <w:sz w:val="21"/>
          <w:szCs w:val="21"/>
          <w:lang w:val="en-AU"/>
        </w:rPr>
        <w:t xml:space="preserve"> are fluid, changing with the</w:t>
      </w:r>
      <w:r w:rsidR="008B7669" w:rsidRPr="0017063C">
        <w:rPr>
          <w:sz w:val="21"/>
          <w:szCs w:val="21"/>
          <w:lang w:val="en-AU"/>
        </w:rPr>
        <w:t xml:space="preserve"> political and security situati</w:t>
      </w:r>
      <w:r w:rsidR="00054037" w:rsidRPr="0017063C">
        <w:rPr>
          <w:sz w:val="21"/>
          <w:szCs w:val="21"/>
          <w:lang w:val="en-AU"/>
        </w:rPr>
        <w:t>on. At independence, Ir</w:t>
      </w:r>
      <w:r w:rsidR="003141FF" w:rsidRPr="0017063C">
        <w:rPr>
          <w:sz w:val="21"/>
          <w:szCs w:val="21"/>
          <w:lang w:val="en-AU"/>
        </w:rPr>
        <w:t xml:space="preserve">aq’s 1959 </w:t>
      </w:r>
      <w:r w:rsidR="003141FF" w:rsidRPr="0017063C">
        <w:rPr>
          <w:i/>
          <w:sz w:val="21"/>
          <w:szCs w:val="21"/>
          <w:lang w:val="en-AU"/>
        </w:rPr>
        <w:t xml:space="preserve">Personal Status Law </w:t>
      </w:r>
      <w:r w:rsidR="008B7669" w:rsidRPr="0017063C">
        <w:rPr>
          <w:sz w:val="21"/>
          <w:szCs w:val="21"/>
          <w:lang w:val="en-AU"/>
        </w:rPr>
        <w:t xml:space="preserve">established </w:t>
      </w:r>
      <w:r w:rsidR="00C30B82" w:rsidRPr="0017063C">
        <w:rPr>
          <w:sz w:val="21"/>
          <w:szCs w:val="21"/>
          <w:lang w:val="en-AU"/>
        </w:rPr>
        <w:t xml:space="preserve">one of </w:t>
      </w:r>
      <w:r w:rsidR="008B7669" w:rsidRPr="0017063C">
        <w:rPr>
          <w:sz w:val="21"/>
          <w:szCs w:val="21"/>
          <w:lang w:val="en-AU"/>
        </w:rPr>
        <w:t>the most progressive platform</w:t>
      </w:r>
      <w:r w:rsidR="00C30B82" w:rsidRPr="0017063C">
        <w:rPr>
          <w:sz w:val="21"/>
          <w:szCs w:val="21"/>
          <w:lang w:val="en-AU"/>
        </w:rPr>
        <w:t>s</w:t>
      </w:r>
      <w:r w:rsidR="008B7669" w:rsidRPr="0017063C">
        <w:rPr>
          <w:sz w:val="21"/>
          <w:szCs w:val="21"/>
          <w:lang w:val="en-AU"/>
        </w:rPr>
        <w:t xml:space="preserve"> for women’s rights in the region. During the Iran-Iraq war, Iraq’s highly educated women took on traditionally male-dominated role</w:t>
      </w:r>
      <w:r w:rsidR="00C60CF9" w:rsidRPr="0017063C">
        <w:rPr>
          <w:sz w:val="21"/>
          <w:szCs w:val="21"/>
          <w:lang w:val="en-AU"/>
        </w:rPr>
        <w:t>s in engineering and the military</w:t>
      </w:r>
      <w:r w:rsidR="0014552E" w:rsidRPr="0017063C">
        <w:rPr>
          <w:sz w:val="21"/>
          <w:szCs w:val="21"/>
          <w:lang w:val="en-AU"/>
        </w:rPr>
        <w:t>. By the 1990s</w:t>
      </w:r>
      <w:r w:rsidR="00C60CF9" w:rsidRPr="0017063C">
        <w:rPr>
          <w:sz w:val="21"/>
          <w:szCs w:val="21"/>
          <w:lang w:val="en-AU"/>
        </w:rPr>
        <w:t>, the Ba’ath</w:t>
      </w:r>
      <w:r w:rsidR="008B7669" w:rsidRPr="0017063C">
        <w:rPr>
          <w:sz w:val="21"/>
          <w:szCs w:val="21"/>
          <w:lang w:val="en-AU"/>
        </w:rPr>
        <w:t xml:space="preserve"> Party</w:t>
      </w:r>
      <w:r w:rsidR="0014552E" w:rsidRPr="0017063C">
        <w:rPr>
          <w:sz w:val="21"/>
          <w:szCs w:val="21"/>
          <w:lang w:val="en-AU"/>
        </w:rPr>
        <w:t>,</w:t>
      </w:r>
      <w:r w:rsidR="008B7669" w:rsidRPr="0017063C">
        <w:rPr>
          <w:sz w:val="21"/>
          <w:szCs w:val="21"/>
          <w:lang w:val="en-AU"/>
        </w:rPr>
        <w:t xml:space="preserve"> in al</w:t>
      </w:r>
      <w:r w:rsidR="00C60CF9" w:rsidRPr="0017063C">
        <w:rPr>
          <w:sz w:val="21"/>
          <w:szCs w:val="21"/>
          <w:lang w:val="en-AU"/>
        </w:rPr>
        <w:t xml:space="preserve">liance with conservative </w:t>
      </w:r>
      <w:r w:rsidR="008B7669" w:rsidRPr="0017063C">
        <w:rPr>
          <w:sz w:val="21"/>
          <w:szCs w:val="21"/>
          <w:lang w:val="en-AU"/>
        </w:rPr>
        <w:t>groups</w:t>
      </w:r>
      <w:r w:rsidR="0014552E" w:rsidRPr="0017063C">
        <w:rPr>
          <w:sz w:val="21"/>
          <w:szCs w:val="21"/>
          <w:lang w:val="en-AU"/>
        </w:rPr>
        <w:t>, changed approach to</w:t>
      </w:r>
      <w:r w:rsidR="00384C5C" w:rsidRPr="0017063C">
        <w:rPr>
          <w:sz w:val="21"/>
          <w:szCs w:val="21"/>
          <w:lang w:val="en-AU"/>
        </w:rPr>
        <w:t xml:space="preserve"> promote</w:t>
      </w:r>
      <w:r w:rsidRPr="0017063C">
        <w:rPr>
          <w:sz w:val="21"/>
          <w:szCs w:val="21"/>
          <w:lang w:val="en-AU"/>
        </w:rPr>
        <w:t xml:space="preserve"> women’s</w:t>
      </w:r>
      <w:r w:rsidR="00384C5C" w:rsidRPr="0017063C">
        <w:rPr>
          <w:sz w:val="21"/>
          <w:szCs w:val="21"/>
          <w:lang w:val="en-AU"/>
        </w:rPr>
        <w:t xml:space="preserve"> </w:t>
      </w:r>
      <w:r w:rsidR="00C60CF9" w:rsidRPr="0017063C">
        <w:rPr>
          <w:sz w:val="21"/>
          <w:szCs w:val="21"/>
          <w:lang w:val="en-AU"/>
        </w:rPr>
        <w:t>place in the home</w:t>
      </w:r>
      <w:r w:rsidR="00C60CF9" w:rsidRPr="0017063C">
        <w:rPr>
          <w:rStyle w:val="EndnoteReference"/>
          <w:sz w:val="21"/>
          <w:szCs w:val="21"/>
          <w:lang w:val="en-AU"/>
        </w:rPr>
        <w:endnoteReference w:id="6"/>
      </w:r>
      <w:r w:rsidR="00C60CF9" w:rsidRPr="0017063C">
        <w:rPr>
          <w:sz w:val="21"/>
          <w:szCs w:val="21"/>
          <w:lang w:val="en-AU"/>
        </w:rPr>
        <w:t xml:space="preserve">. Since 2005, </w:t>
      </w:r>
      <w:r w:rsidR="0014552E" w:rsidRPr="0017063C">
        <w:rPr>
          <w:sz w:val="21"/>
          <w:szCs w:val="21"/>
          <w:lang w:val="en-AU"/>
        </w:rPr>
        <w:t>women</w:t>
      </w:r>
      <w:r w:rsidR="00C60CF9" w:rsidRPr="0017063C">
        <w:rPr>
          <w:sz w:val="21"/>
          <w:szCs w:val="21"/>
          <w:lang w:val="en-AU"/>
        </w:rPr>
        <w:t xml:space="preserve"> </w:t>
      </w:r>
      <w:r w:rsidR="009B7147" w:rsidRPr="0017063C">
        <w:rPr>
          <w:sz w:val="21"/>
          <w:szCs w:val="21"/>
          <w:lang w:val="en-AU"/>
        </w:rPr>
        <w:t>comprise more than 25</w:t>
      </w:r>
      <w:r w:rsidR="0014552E" w:rsidRPr="0017063C">
        <w:rPr>
          <w:sz w:val="21"/>
          <w:szCs w:val="21"/>
          <w:lang w:val="en-AU"/>
        </w:rPr>
        <w:t xml:space="preserve">% of </w:t>
      </w:r>
      <w:r w:rsidR="00054037" w:rsidRPr="0017063C">
        <w:rPr>
          <w:sz w:val="21"/>
          <w:szCs w:val="21"/>
          <w:lang w:val="en-AU"/>
        </w:rPr>
        <w:t xml:space="preserve">the </w:t>
      </w:r>
      <w:r w:rsidR="00AA3D74" w:rsidRPr="0017063C">
        <w:rPr>
          <w:sz w:val="21"/>
          <w:szCs w:val="21"/>
          <w:lang w:val="en-AU"/>
        </w:rPr>
        <w:t>Iraq</w:t>
      </w:r>
      <w:r w:rsidR="00247469" w:rsidRPr="0017063C">
        <w:rPr>
          <w:sz w:val="21"/>
          <w:szCs w:val="21"/>
          <w:lang w:val="en-AU"/>
        </w:rPr>
        <w:t>i</w:t>
      </w:r>
      <w:r w:rsidR="00AA3D74" w:rsidRPr="0017063C">
        <w:rPr>
          <w:sz w:val="21"/>
          <w:szCs w:val="21"/>
          <w:lang w:val="en-AU"/>
        </w:rPr>
        <w:t xml:space="preserve"> </w:t>
      </w:r>
      <w:r w:rsidR="00054037" w:rsidRPr="0017063C">
        <w:rPr>
          <w:sz w:val="21"/>
          <w:szCs w:val="21"/>
          <w:lang w:val="en-AU"/>
        </w:rPr>
        <w:t>P</w:t>
      </w:r>
      <w:r w:rsidR="00C60CF9" w:rsidRPr="0017063C">
        <w:rPr>
          <w:sz w:val="21"/>
          <w:szCs w:val="21"/>
          <w:lang w:val="en-AU"/>
        </w:rPr>
        <w:t>arliament and wom</w:t>
      </w:r>
      <w:r w:rsidRPr="0017063C">
        <w:rPr>
          <w:sz w:val="21"/>
          <w:szCs w:val="21"/>
          <w:lang w:val="en-AU"/>
        </w:rPr>
        <w:t>en’s organisations have emerged but t</w:t>
      </w:r>
      <w:r w:rsidR="00384C5C" w:rsidRPr="0017063C">
        <w:rPr>
          <w:sz w:val="21"/>
          <w:szCs w:val="21"/>
          <w:lang w:val="en-AU"/>
        </w:rPr>
        <w:t xml:space="preserve">he continuing </w:t>
      </w:r>
      <w:r w:rsidR="00C60CF9" w:rsidRPr="0017063C">
        <w:rPr>
          <w:sz w:val="21"/>
          <w:szCs w:val="21"/>
          <w:lang w:val="en-AU"/>
        </w:rPr>
        <w:t xml:space="preserve">threat of </w:t>
      </w:r>
      <w:r w:rsidR="00384C5C" w:rsidRPr="0017063C">
        <w:rPr>
          <w:sz w:val="21"/>
          <w:szCs w:val="21"/>
          <w:lang w:val="en-AU"/>
        </w:rPr>
        <w:t>insecurity</w:t>
      </w:r>
      <w:r w:rsidR="0014552E" w:rsidRPr="0017063C">
        <w:rPr>
          <w:sz w:val="21"/>
          <w:szCs w:val="21"/>
          <w:lang w:val="en-AU"/>
        </w:rPr>
        <w:t xml:space="preserve"> has severely limited women’s ability to exercise their rights</w:t>
      </w:r>
      <w:r w:rsidR="000A5CB4" w:rsidRPr="0017063C">
        <w:rPr>
          <w:sz w:val="21"/>
          <w:szCs w:val="21"/>
          <w:lang w:val="en-AU"/>
        </w:rPr>
        <w:t xml:space="preserve"> and freedom of movement</w:t>
      </w:r>
      <w:r w:rsidR="00C60CF9" w:rsidRPr="0017063C">
        <w:rPr>
          <w:rStyle w:val="EndnoteReference"/>
          <w:sz w:val="21"/>
          <w:szCs w:val="21"/>
          <w:lang w:val="en-AU"/>
        </w:rPr>
        <w:endnoteReference w:id="7"/>
      </w:r>
      <w:r w:rsidR="000A5CB4" w:rsidRPr="0017063C">
        <w:rPr>
          <w:sz w:val="21"/>
          <w:szCs w:val="21"/>
          <w:lang w:val="en-AU"/>
        </w:rPr>
        <w:t xml:space="preserve">. The impact of the current humanitarian crisis on </w:t>
      </w:r>
      <w:r w:rsidRPr="0017063C">
        <w:rPr>
          <w:sz w:val="21"/>
          <w:szCs w:val="21"/>
          <w:lang w:val="en-AU"/>
        </w:rPr>
        <w:t>the lives of women, men, boys and girls is</w:t>
      </w:r>
      <w:r w:rsidR="000A5CB4" w:rsidRPr="0017063C">
        <w:rPr>
          <w:sz w:val="21"/>
          <w:szCs w:val="21"/>
          <w:lang w:val="en-AU"/>
        </w:rPr>
        <w:t xml:space="preserve"> only slowly becoming visible. </w:t>
      </w:r>
    </w:p>
    <w:p w:rsidR="00912815" w:rsidRPr="0017063C" w:rsidRDefault="00912815" w:rsidP="009535BF">
      <w:pPr>
        <w:jc w:val="both"/>
        <w:rPr>
          <w:i/>
          <w:sz w:val="21"/>
          <w:szCs w:val="21"/>
          <w:lang w:val="en-AU"/>
        </w:rPr>
      </w:pPr>
    </w:p>
    <w:p w:rsidR="00553742" w:rsidRPr="0017063C" w:rsidRDefault="005F39C1" w:rsidP="009535BF">
      <w:pPr>
        <w:jc w:val="both"/>
        <w:rPr>
          <w:sz w:val="21"/>
          <w:szCs w:val="21"/>
          <w:lang w:val="en-AU"/>
        </w:rPr>
      </w:pPr>
      <w:r w:rsidRPr="0017063C">
        <w:rPr>
          <w:b/>
          <w:color w:val="E36C0A" w:themeColor="accent6" w:themeShade="BF"/>
          <w:sz w:val="21"/>
          <w:szCs w:val="21"/>
          <w:lang w:val="en-AU"/>
        </w:rPr>
        <w:t>Gender Roles</w:t>
      </w:r>
      <w:r w:rsidR="00477DC0" w:rsidRPr="0017063C">
        <w:rPr>
          <w:b/>
          <w:color w:val="E36C0A" w:themeColor="accent6" w:themeShade="BF"/>
          <w:sz w:val="21"/>
          <w:szCs w:val="21"/>
          <w:lang w:val="en-AU"/>
        </w:rPr>
        <w:t xml:space="preserve"> and Responsibilities</w:t>
      </w:r>
      <w:r w:rsidRPr="0017063C">
        <w:rPr>
          <w:color w:val="E36C0A" w:themeColor="accent6" w:themeShade="BF"/>
          <w:sz w:val="21"/>
          <w:szCs w:val="21"/>
          <w:lang w:val="en-AU"/>
        </w:rPr>
        <w:t xml:space="preserve">: </w:t>
      </w:r>
      <w:r w:rsidR="00912815" w:rsidRPr="0017063C">
        <w:rPr>
          <w:sz w:val="21"/>
          <w:szCs w:val="21"/>
          <w:lang w:val="en-AU"/>
        </w:rPr>
        <w:t>Within the home,</w:t>
      </w:r>
      <w:r w:rsidR="00F600F1" w:rsidRPr="0017063C">
        <w:rPr>
          <w:sz w:val="21"/>
          <w:szCs w:val="21"/>
          <w:lang w:val="en-AU"/>
        </w:rPr>
        <w:t xml:space="preserve"> Iraqi</w:t>
      </w:r>
      <w:r w:rsidR="00912815" w:rsidRPr="0017063C">
        <w:rPr>
          <w:sz w:val="21"/>
          <w:szCs w:val="21"/>
          <w:lang w:val="en-AU"/>
        </w:rPr>
        <w:t xml:space="preserve"> men and women generally have gender specific roles. More than 40% of Iraqi men report that they do no household chores at all</w:t>
      </w:r>
      <w:r w:rsidR="00912815" w:rsidRPr="0017063C">
        <w:rPr>
          <w:rStyle w:val="EndnoteReference"/>
          <w:sz w:val="21"/>
          <w:szCs w:val="21"/>
          <w:lang w:val="en-AU"/>
        </w:rPr>
        <w:endnoteReference w:id="8"/>
      </w:r>
      <w:r w:rsidR="00912815" w:rsidRPr="0017063C">
        <w:rPr>
          <w:sz w:val="21"/>
          <w:szCs w:val="21"/>
          <w:lang w:val="en-AU"/>
        </w:rPr>
        <w:t xml:space="preserve">. Men are </w:t>
      </w:r>
      <w:r w:rsidR="00F600F1" w:rsidRPr="0017063C">
        <w:rPr>
          <w:sz w:val="21"/>
          <w:szCs w:val="21"/>
          <w:lang w:val="en-AU"/>
        </w:rPr>
        <w:t xml:space="preserve">primarily </w:t>
      </w:r>
      <w:r w:rsidR="00912815" w:rsidRPr="0017063C">
        <w:rPr>
          <w:sz w:val="21"/>
          <w:szCs w:val="21"/>
          <w:lang w:val="en-AU"/>
        </w:rPr>
        <w:t>responsible for providing</w:t>
      </w:r>
      <w:r w:rsidR="00F600F1" w:rsidRPr="0017063C">
        <w:rPr>
          <w:sz w:val="21"/>
          <w:szCs w:val="21"/>
          <w:lang w:val="en-AU"/>
        </w:rPr>
        <w:t xml:space="preserve"> for</w:t>
      </w:r>
      <w:r w:rsidR="00912815" w:rsidRPr="0017063C">
        <w:rPr>
          <w:sz w:val="21"/>
          <w:szCs w:val="21"/>
          <w:lang w:val="en-AU"/>
        </w:rPr>
        <w:t xml:space="preserve"> and protecting their families</w:t>
      </w:r>
      <w:r w:rsidR="00F600F1" w:rsidRPr="0017063C">
        <w:rPr>
          <w:rStyle w:val="EndnoteReference"/>
          <w:sz w:val="21"/>
          <w:szCs w:val="21"/>
          <w:lang w:val="en-AU"/>
        </w:rPr>
        <w:endnoteReference w:id="9"/>
      </w:r>
      <w:r w:rsidR="00F600F1" w:rsidRPr="0017063C">
        <w:rPr>
          <w:sz w:val="21"/>
          <w:szCs w:val="21"/>
          <w:lang w:val="en-AU"/>
        </w:rPr>
        <w:t xml:space="preserve"> although high youth unemployment rates make this challenging for younger men. </w:t>
      </w:r>
      <w:r w:rsidR="00996CE2" w:rsidRPr="0017063C">
        <w:rPr>
          <w:sz w:val="21"/>
          <w:szCs w:val="21"/>
          <w:lang w:val="en-AU"/>
        </w:rPr>
        <w:t>Just u</w:t>
      </w:r>
      <w:r w:rsidR="00F600F1" w:rsidRPr="0017063C">
        <w:rPr>
          <w:sz w:val="21"/>
          <w:szCs w:val="21"/>
          <w:lang w:val="en-AU"/>
        </w:rPr>
        <w:t>n</w:t>
      </w:r>
      <w:r w:rsidR="00996CE2" w:rsidRPr="0017063C">
        <w:rPr>
          <w:sz w:val="21"/>
          <w:szCs w:val="21"/>
          <w:lang w:val="en-AU"/>
        </w:rPr>
        <w:t>d</w:t>
      </w:r>
      <w:r w:rsidR="00F600F1" w:rsidRPr="0017063C">
        <w:rPr>
          <w:sz w:val="21"/>
          <w:szCs w:val="21"/>
          <w:lang w:val="en-AU"/>
        </w:rPr>
        <w:t>er half of Iraqi girls report feeling that they are treated equally to their brothers</w:t>
      </w:r>
      <w:r w:rsidR="00EA101A" w:rsidRPr="0017063C">
        <w:rPr>
          <w:rStyle w:val="EndnoteReference"/>
          <w:sz w:val="21"/>
          <w:szCs w:val="21"/>
          <w:lang w:val="en-AU"/>
        </w:rPr>
        <w:endnoteReference w:id="10"/>
      </w:r>
      <w:r w:rsidR="00F600F1" w:rsidRPr="0017063C">
        <w:rPr>
          <w:sz w:val="21"/>
          <w:szCs w:val="21"/>
          <w:lang w:val="en-AU"/>
        </w:rPr>
        <w:t>.</w:t>
      </w:r>
      <w:r w:rsidR="00EA101A" w:rsidRPr="0017063C">
        <w:rPr>
          <w:sz w:val="21"/>
          <w:szCs w:val="21"/>
          <w:lang w:val="en-AU"/>
        </w:rPr>
        <w:t xml:space="preserve"> Altho</w:t>
      </w:r>
      <w:r w:rsidR="00535A04" w:rsidRPr="0017063C">
        <w:rPr>
          <w:sz w:val="21"/>
          <w:szCs w:val="21"/>
          <w:lang w:val="en-AU"/>
        </w:rPr>
        <w:t xml:space="preserve">ugh the </w:t>
      </w:r>
      <w:r w:rsidR="00B456D8" w:rsidRPr="0017063C">
        <w:rPr>
          <w:sz w:val="21"/>
          <w:szCs w:val="21"/>
          <w:lang w:val="en-AU"/>
        </w:rPr>
        <w:t>overall</w:t>
      </w:r>
      <w:r w:rsidR="00535A04" w:rsidRPr="0017063C">
        <w:rPr>
          <w:sz w:val="21"/>
          <w:szCs w:val="21"/>
          <w:lang w:val="en-AU"/>
        </w:rPr>
        <w:t xml:space="preserve"> Iraqi population </w:t>
      </w:r>
      <w:r w:rsidR="00EA101A" w:rsidRPr="0017063C">
        <w:rPr>
          <w:sz w:val="21"/>
          <w:szCs w:val="21"/>
          <w:lang w:val="en-AU"/>
        </w:rPr>
        <w:t xml:space="preserve">comprises more males than females, there are significantly </w:t>
      </w:r>
      <w:proofErr w:type="gramStart"/>
      <w:r w:rsidR="00EA101A" w:rsidRPr="0017063C">
        <w:rPr>
          <w:sz w:val="21"/>
          <w:szCs w:val="21"/>
          <w:lang w:val="en-AU"/>
        </w:rPr>
        <w:t>m</w:t>
      </w:r>
      <w:r w:rsidR="00535A04" w:rsidRPr="0017063C">
        <w:rPr>
          <w:sz w:val="21"/>
          <w:szCs w:val="21"/>
          <w:lang w:val="en-AU"/>
        </w:rPr>
        <w:t>ore older</w:t>
      </w:r>
      <w:proofErr w:type="gramEnd"/>
      <w:r w:rsidR="00535A04" w:rsidRPr="0017063C">
        <w:rPr>
          <w:sz w:val="21"/>
          <w:szCs w:val="21"/>
          <w:lang w:val="en-AU"/>
        </w:rPr>
        <w:t xml:space="preserve"> women than older men. </w:t>
      </w:r>
      <w:r w:rsidR="00F41204" w:rsidRPr="0017063C">
        <w:rPr>
          <w:rFonts w:cs="Arial"/>
          <w:sz w:val="21"/>
          <w:szCs w:val="21"/>
          <w:lang w:val="en-AU"/>
        </w:rPr>
        <w:t xml:space="preserve">An estimated </w:t>
      </w:r>
      <w:r w:rsidR="00F41204" w:rsidRPr="0017063C">
        <w:rPr>
          <w:rFonts w:cs="Arial"/>
          <w:sz w:val="21"/>
          <w:szCs w:val="21"/>
          <w:shd w:val="clear" w:color="auto" w:fill="FFFFFF"/>
        </w:rPr>
        <w:t>9 percent of the country’s women (900,000) are widows</w:t>
      </w:r>
      <w:r w:rsidR="00932516" w:rsidRPr="0017063C">
        <w:rPr>
          <w:rStyle w:val="EndnoteReference"/>
          <w:rFonts w:cs="Arial"/>
          <w:sz w:val="21"/>
          <w:szCs w:val="21"/>
          <w:shd w:val="clear" w:color="auto" w:fill="FFFFFF"/>
        </w:rPr>
        <w:endnoteReference w:id="11"/>
      </w:r>
      <w:r w:rsidR="00F41204" w:rsidRPr="0017063C">
        <w:rPr>
          <w:rFonts w:cs="Arial"/>
          <w:sz w:val="21"/>
          <w:szCs w:val="21"/>
          <w:shd w:val="clear" w:color="auto" w:fill="FFFFFF"/>
        </w:rPr>
        <w:t xml:space="preserve">. </w:t>
      </w:r>
      <w:r w:rsidR="00535A04" w:rsidRPr="0017063C">
        <w:rPr>
          <w:sz w:val="21"/>
          <w:szCs w:val="21"/>
          <w:lang w:val="en-AU"/>
        </w:rPr>
        <w:t>Older women</w:t>
      </w:r>
      <w:r w:rsidR="00EA101A" w:rsidRPr="0017063C">
        <w:rPr>
          <w:sz w:val="21"/>
          <w:szCs w:val="21"/>
          <w:lang w:val="en-AU"/>
        </w:rPr>
        <w:t xml:space="preserve"> have specific vulnerabilities especially if they are also female headed households</w:t>
      </w:r>
      <w:r w:rsidR="00477DC0" w:rsidRPr="0017063C">
        <w:rPr>
          <w:sz w:val="21"/>
          <w:szCs w:val="21"/>
          <w:vertAlign w:val="superscript"/>
          <w:lang w:val="en-AU"/>
        </w:rPr>
        <w:t>11</w:t>
      </w:r>
      <w:r w:rsidR="00EA101A" w:rsidRPr="0017063C">
        <w:rPr>
          <w:sz w:val="21"/>
          <w:szCs w:val="21"/>
          <w:lang w:val="en-AU"/>
        </w:rPr>
        <w:t>. Social norms prevent women from living without men</w:t>
      </w:r>
      <w:r w:rsidR="00CB7BE7" w:rsidRPr="0017063C">
        <w:rPr>
          <w:sz w:val="21"/>
          <w:szCs w:val="21"/>
          <w:lang w:val="en-AU"/>
        </w:rPr>
        <w:t>,</w:t>
      </w:r>
      <w:r w:rsidR="00EA101A" w:rsidRPr="0017063C">
        <w:rPr>
          <w:sz w:val="21"/>
          <w:szCs w:val="21"/>
          <w:lang w:val="en-AU"/>
        </w:rPr>
        <w:t xml:space="preserve"> leaving female </w:t>
      </w:r>
      <w:r w:rsidR="00535A04" w:rsidRPr="0017063C">
        <w:rPr>
          <w:sz w:val="21"/>
          <w:szCs w:val="21"/>
          <w:lang w:val="en-AU"/>
        </w:rPr>
        <w:t>headed households particularly at risk of violence</w:t>
      </w:r>
      <w:r w:rsidR="00EA101A" w:rsidRPr="0017063C">
        <w:rPr>
          <w:rStyle w:val="EndnoteReference"/>
          <w:sz w:val="21"/>
          <w:szCs w:val="21"/>
          <w:lang w:val="en-AU"/>
        </w:rPr>
        <w:endnoteReference w:id="12"/>
      </w:r>
      <w:r w:rsidR="00EA101A" w:rsidRPr="0017063C">
        <w:rPr>
          <w:sz w:val="21"/>
          <w:szCs w:val="21"/>
          <w:lang w:val="en-AU"/>
        </w:rPr>
        <w:t>.</w:t>
      </w:r>
      <w:r w:rsidR="00996CE2" w:rsidRPr="0017063C">
        <w:rPr>
          <w:sz w:val="21"/>
          <w:szCs w:val="21"/>
          <w:lang w:val="en-AU"/>
        </w:rPr>
        <w:t xml:space="preserve"> Polygamous households a</w:t>
      </w:r>
      <w:r w:rsidR="00C30B82" w:rsidRPr="0017063C">
        <w:rPr>
          <w:sz w:val="21"/>
          <w:szCs w:val="21"/>
          <w:lang w:val="en-AU"/>
        </w:rPr>
        <w:t>re relatively common (12.3%);</w:t>
      </w:r>
      <w:r w:rsidR="00996CE2" w:rsidRPr="0017063C">
        <w:rPr>
          <w:sz w:val="21"/>
          <w:szCs w:val="21"/>
          <w:lang w:val="en-AU"/>
        </w:rPr>
        <w:t xml:space="preserve"> more common amon</w:t>
      </w:r>
      <w:r w:rsidR="00120B1E" w:rsidRPr="0017063C">
        <w:rPr>
          <w:sz w:val="21"/>
          <w:szCs w:val="21"/>
          <w:lang w:val="en-AU"/>
        </w:rPr>
        <w:t>gst older age groups and in rur</w:t>
      </w:r>
      <w:r w:rsidR="00996CE2" w:rsidRPr="0017063C">
        <w:rPr>
          <w:sz w:val="21"/>
          <w:szCs w:val="21"/>
          <w:lang w:val="en-AU"/>
        </w:rPr>
        <w:t>al areas</w:t>
      </w:r>
      <w:r w:rsidR="00477DC0" w:rsidRPr="0017063C">
        <w:rPr>
          <w:sz w:val="21"/>
          <w:szCs w:val="21"/>
          <w:vertAlign w:val="superscript"/>
          <w:lang w:val="en-AU"/>
        </w:rPr>
        <w:t>12</w:t>
      </w:r>
      <w:r w:rsidR="00996CE2" w:rsidRPr="0017063C">
        <w:rPr>
          <w:sz w:val="21"/>
          <w:szCs w:val="21"/>
          <w:lang w:val="en-AU"/>
        </w:rPr>
        <w:t xml:space="preserve">. </w:t>
      </w:r>
      <w:r w:rsidR="00EA101A" w:rsidRPr="0017063C">
        <w:rPr>
          <w:sz w:val="21"/>
          <w:szCs w:val="21"/>
          <w:lang w:val="en-AU"/>
        </w:rPr>
        <w:t>In previous times of insecurity, “</w:t>
      </w:r>
      <w:r w:rsidR="00EA101A" w:rsidRPr="0017063C">
        <w:rPr>
          <w:i/>
          <w:sz w:val="21"/>
          <w:szCs w:val="21"/>
          <w:lang w:val="en-AU"/>
        </w:rPr>
        <w:t>Gender Role Swap</w:t>
      </w:r>
      <w:r w:rsidR="00BB31BD" w:rsidRPr="0017063C">
        <w:rPr>
          <w:i/>
          <w:sz w:val="21"/>
          <w:szCs w:val="21"/>
          <w:lang w:val="en-AU"/>
        </w:rPr>
        <w:t>s</w:t>
      </w:r>
      <w:r w:rsidR="00535A04" w:rsidRPr="0017063C">
        <w:rPr>
          <w:sz w:val="21"/>
          <w:szCs w:val="21"/>
          <w:lang w:val="en-AU"/>
        </w:rPr>
        <w:t xml:space="preserve">” have been </w:t>
      </w:r>
      <w:r w:rsidR="00535A04" w:rsidRPr="0017063C">
        <w:rPr>
          <w:sz w:val="21"/>
          <w:szCs w:val="21"/>
          <w:lang w:val="en-AU"/>
        </w:rPr>
        <w:lastRenderedPageBreak/>
        <w:t>documented when</w:t>
      </w:r>
      <w:r w:rsidR="00EA101A" w:rsidRPr="0017063C">
        <w:rPr>
          <w:sz w:val="21"/>
          <w:szCs w:val="21"/>
          <w:lang w:val="en-AU"/>
        </w:rPr>
        <w:t xml:space="preserve"> men</w:t>
      </w:r>
      <w:r w:rsidR="00535A04" w:rsidRPr="0017063C">
        <w:rPr>
          <w:sz w:val="21"/>
          <w:szCs w:val="21"/>
          <w:lang w:val="en-AU"/>
        </w:rPr>
        <w:t xml:space="preserve"> we</w:t>
      </w:r>
      <w:r w:rsidR="00120B1E" w:rsidRPr="0017063C">
        <w:rPr>
          <w:sz w:val="21"/>
          <w:szCs w:val="21"/>
          <w:lang w:val="en-AU"/>
        </w:rPr>
        <w:t>re unable to leave the home resulting in</w:t>
      </w:r>
      <w:r w:rsidR="00EA101A" w:rsidRPr="0017063C">
        <w:rPr>
          <w:sz w:val="21"/>
          <w:szCs w:val="21"/>
          <w:lang w:val="en-AU"/>
        </w:rPr>
        <w:t xml:space="preserve"> women and boys going out to provide for the family</w:t>
      </w:r>
      <w:r w:rsidR="00EA101A" w:rsidRPr="0017063C">
        <w:rPr>
          <w:rStyle w:val="EndnoteReference"/>
          <w:sz w:val="21"/>
          <w:szCs w:val="21"/>
          <w:lang w:val="en-AU"/>
        </w:rPr>
        <w:endnoteReference w:id="13"/>
      </w:r>
      <w:r w:rsidR="00EA101A" w:rsidRPr="0017063C">
        <w:rPr>
          <w:sz w:val="21"/>
          <w:szCs w:val="21"/>
          <w:lang w:val="en-AU"/>
        </w:rPr>
        <w:t xml:space="preserve">.  </w:t>
      </w:r>
    </w:p>
    <w:p w:rsidR="003C5C5B" w:rsidRPr="0017063C" w:rsidRDefault="003C5C5B" w:rsidP="009535BF">
      <w:pPr>
        <w:jc w:val="both"/>
        <w:rPr>
          <w:i/>
          <w:sz w:val="21"/>
          <w:szCs w:val="21"/>
          <w:lang w:val="en-AU"/>
        </w:rPr>
      </w:pPr>
    </w:p>
    <w:p w:rsidR="00DC7695" w:rsidRPr="0017063C" w:rsidRDefault="00535A04" w:rsidP="009535BF">
      <w:pPr>
        <w:jc w:val="both"/>
        <w:rPr>
          <w:sz w:val="21"/>
          <w:szCs w:val="21"/>
          <w:lang w:val="en-AU"/>
        </w:rPr>
      </w:pPr>
      <w:r w:rsidRPr="0017063C">
        <w:rPr>
          <w:b/>
          <w:color w:val="E36C0A" w:themeColor="accent6" w:themeShade="BF"/>
          <w:sz w:val="21"/>
          <w:szCs w:val="21"/>
          <w:lang w:val="en-AU"/>
        </w:rPr>
        <w:t>Economics and Education</w:t>
      </w:r>
      <w:r w:rsidR="005F39C1" w:rsidRPr="0017063C">
        <w:rPr>
          <w:b/>
          <w:color w:val="E36C0A" w:themeColor="accent6" w:themeShade="BF"/>
          <w:sz w:val="21"/>
          <w:szCs w:val="21"/>
          <w:lang w:val="en-AU"/>
        </w:rPr>
        <w:t>:</w:t>
      </w:r>
      <w:r w:rsidR="003C5C5B" w:rsidRPr="0017063C">
        <w:rPr>
          <w:i/>
          <w:color w:val="E36C0A" w:themeColor="accent6" w:themeShade="BF"/>
          <w:sz w:val="21"/>
          <w:szCs w:val="21"/>
          <w:lang w:val="en-AU"/>
        </w:rPr>
        <w:t xml:space="preserve"> </w:t>
      </w:r>
      <w:r w:rsidR="00F36E88" w:rsidRPr="0017063C">
        <w:rPr>
          <w:sz w:val="21"/>
          <w:szCs w:val="21"/>
          <w:lang w:val="en-AU"/>
        </w:rPr>
        <w:t>Participation in the labour market is very different for men and women: 73%</w:t>
      </w:r>
      <w:r w:rsidR="00C30B82" w:rsidRPr="0017063C">
        <w:rPr>
          <w:sz w:val="21"/>
          <w:szCs w:val="21"/>
          <w:lang w:val="en-AU"/>
        </w:rPr>
        <w:t xml:space="preserve"> of men</w:t>
      </w:r>
      <w:r w:rsidR="00F36E88" w:rsidRPr="0017063C">
        <w:rPr>
          <w:sz w:val="21"/>
          <w:szCs w:val="21"/>
          <w:lang w:val="en-AU"/>
        </w:rPr>
        <w:t xml:space="preserve"> work or are looking for work compared to</w:t>
      </w:r>
      <w:r w:rsidR="00C30B82" w:rsidRPr="0017063C">
        <w:rPr>
          <w:sz w:val="21"/>
          <w:szCs w:val="21"/>
          <w:lang w:val="en-AU"/>
        </w:rPr>
        <w:t xml:space="preserve"> only</w:t>
      </w:r>
      <w:r w:rsidR="00F36E88" w:rsidRPr="0017063C">
        <w:rPr>
          <w:sz w:val="21"/>
          <w:szCs w:val="21"/>
          <w:lang w:val="en-AU"/>
        </w:rPr>
        <w:t xml:space="preserve"> 14% of women</w:t>
      </w:r>
      <w:r w:rsidR="00C33930" w:rsidRPr="0017063C">
        <w:rPr>
          <w:rStyle w:val="EndnoteReference"/>
          <w:sz w:val="21"/>
          <w:szCs w:val="21"/>
          <w:lang w:val="en-AU"/>
        </w:rPr>
        <w:endnoteReference w:id="14"/>
      </w:r>
      <w:r w:rsidR="00F36E88" w:rsidRPr="0017063C">
        <w:rPr>
          <w:sz w:val="21"/>
          <w:szCs w:val="21"/>
          <w:lang w:val="en-AU"/>
        </w:rPr>
        <w:t>. Unemployment affects young people more than older people: 28% of men aged 15-29 are</w:t>
      </w:r>
      <w:r w:rsidR="00C30B82" w:rsidRPr="0017063C">
        <w:rPr>
          <w:sz w:val="21"/>
          <w:szCs w:val="21"/>
          <w:lang w:val="en-AU"/>
        </w:rPr>
        <w:t xml:space="preserve"> unemployed</w:t>
      </w:r>
      <w:r w:rsidR="00F36E88" w:rsidRPr="0017063C">
        <w:rPr>
          <w:sz w:val="21"/>
          <w:szCs w:val="21"/>
          <w:lang w:val="en-AU"/>
        </w:rPr>
        <w:t xml:space="preserve"> compared to the average of 18% </w:t>
      </w:r>
      <w:r w:rsidR="00C33930" w:rsidRPr="0017063C">
        <w:rPr>
          <w:sz w:val="21"/>
          <w:szCs w:val="21"/>
          <w:lang w:val="en-AU"/>
        </w:rPr>
        <w:t>unemployment</w:t>
      </w:r>
      <w:r w:rsidR="00477DC0" w:rsidRPr="0017063C">
        <w:rPr>
          <w:sz w:val="21"/>
          <w:szCs w:val="21"/>
          <w:vertAlign w:val="superscript"/>
          <w:lang w:val="en-AU"/>
        </w:rPr>
        <w:t>13</w:t>
      </w:r>
      <w:r w:rsidR="00F36E88" w:rsidRPr="0017063C">
        <w:rPr>
          <w:sz w:val="21"/>
          <w:szCs w:val="21"/>
          <w:lang w:val="en-AU"/>
        </w:rPr>
        <w:t xml:space="preserve">. </w:t>
      </w:r>
      <w:r w:rsidR="00E12CA2" w:rsidRPr="0017063C">
        <w:rPr>
          <w:sz w:val="21"/>
          <w:szCs w:val="21"/>
          <w:lang w:val="en-AU"/>
        </w:rPr>
        <w:t xml:space="preserve">Overall low levels of women’s participation in the workforce </w:t>
      </w:r>
      <w:r w:rsidR="009E1451" w:rsidRPr="0017063C">
        <w:rPr>
          <w:sz w:val="21"/>
          <w:szCs w:val="21"/>
          <w:lang w:val="en-AU"/>
        </w:rPr>
        <w:t xml:space="preserve">are </w:t>
      </w:r>
      <w:r w:rsidR="00E12CA2" w:rsidRPr="0017063C">
        <w:rPr>
          <w:sz w:val="21"/>
          <w:szCs w:val="21"/>
          <w:lang w:val="en-AU"/>
        </w:rPr>
        <w:t>part of the “</w:t>
      </w:r>
      <w:r w:rsidR="00E12CA2" w:rsidRPr="0017063C">
        <w:rPr>
          <w:i/>
          <w:sz w:val="21"/>
          <w:szCs w:val="21"/>
          <w:lang w:val="en-AU"/>
        </w:rPr>
        <w:t>MENA Paradox”</w:t>
      </w:r>
      <w:r w:rsidR="00E12CA2" w:rsidRPr="0017063C">
        <w:rPr>
          <w:sz w:val="21"/>
          <w:szCs w:val="21"/>
          <w:lang w:val="en-AU"/>
        </w:rPr>
        <w:t xml:space="preserve">’ whereby women in the </w:t>
      </w:r>
      <w:r w:rsidR="00C30B82" w:rsidRPr="0017063C">
        <w:rPr>
          <w:sz w:val="21"/>
          <w:szCs w:val="21"/>
          <w:lang w:val="en-AU"/>
        </w:rPr>
        <w:t>region</w:t>
      </w:r>
      <w:r w:rsidR="00E12CA2" w:rsidRPr="0017063C">
        <w:rPr>
          <w:sz w:val="21"/>
          <w:szCs w:val="21"/>
          <w:lang w:val="en-AU"/>
        </w:rPr>
        <w:t xml:space="preserve"> are increasingly more educated and healthier but not increasing their economic and political participation</w:t>
      </w:r>
      <w:r w:rsidR="00C33930" w:rsidRPr="0017063C">
        <w:rPr>
          <w:rStyle w:val="EndnoteReference"/>
          <w:sz w:val="21"/>
          <w:szCs w:val="21"/>
          <w:lang w:val="en-AU"/>
        </w:rPr>
        <w:endnoteReference w:id="15"/>
      </w:r>
      <w:r w:rsidR="00E12CA2" w:rsidRPr="0017063C">
        <w:rPr>
          <w:sz w:val="21"/>
          <w:szCs w:val="21"/>
          <w:lang w:val="en-AU"/>
        </w:rPr>
        <w:t xml:space="preserve">. </w:t>
      </w:r>
      <w:r w:rsidR="00091CB8" w:rsidRPr="0017063C">
        <w:rPr>
          <w:sz w:val="21"/>
          <w:szCs w:val="21"/>
          <w:lang w:val="en-AU"/>
        </w:rPr>
        <w:t>Child Labour is more common in rural areas where 10% of children reported working</w:t>
      </w:r>
      <w:r w:rsidR="00C30B82" w:rsidRPr="0017063C">
        <w:rPr>
          <w:sz w:val="21"/>
          <w:szCs w:val="21"/>
          <w:lang w:val="en-AU"/>
        </w:rPr>
        <w:t xml:space="preserve"> compared to 5% in urban areas;</w:t>
      </w:r>
      <w:r w:rsidR="00091CB8" w:rsidRPr="0017063C">
        <w:rPr>
          <w:sz w:val="21"/>
          <w:szCs w:val="21"/>
          <w:lang w:val="en-AU"/>
        </w:rPr>
        <w:t xml:space="preserve"> boys are more likely to work than girls</w:t>
      </w:r>
      <w:r w:rsidR="00091CB8" w:rsidRPr="0017063C">
        <w:rPr>
          <w:rStyle w:val="EndnoteReference"/>
          <w:sz w:val="21"/>
          <w:szCs w:val="21"/>
          <w:lang w:val="en-AU"/>
        </w:rPr>
        <w:endnoteReference w:id="16"/>
      </w:r>
      <w:r w:rsidR="00091CB8" w:rsidRPr="0017063C">
        <w:rPr>
          <w:sz w:val="21"/>
          <w:szCs w:val="21"/>
          <w:lang w:val="en-AU"/>
        </w:rPr>
        <w:t xml:space="preserve">. </w:t>
      </w:r>
      <w:r w:rsidR="00862C1C" w:rsidRPr="0017063C">
        <w:rPr>
          <w:sz w:val="21"/>
          <w:szCs w:val="21"/>
          <w:lang w:val="en-AU"/>
        </w:rPr>
        <w:t xml:space="preserve">Some of the coping strategies documented in previous crises including an increase in </w:t>
      </w:r>
      <w:r w:rsidR="00165115" w:rsidRPr="0017063C">
        <w:rPr>
          <w:sz w:val="21"/>
          <w:szCs w:val="21"/>
          <w:lang w:val="en-AU"/>
        </w:rPr>
        <w:t>al-</w:t>
      </w:r>
      <w:r w:rsidR="00165115" w:rsidRPr="0017063C">
        <w:rPr>
          <w:i/>
          <w:sz w:val="21"/>
          <w:szCs w:val="21"/>
          <w:lang w:val="en-AU"/>
        </w:rPr>
        <w:t>m</w:t>
      </w:r>
      <w:r w:rsidR="00862C1C" w:rsidRPr="0017063C">
        <w:rPr>
          <w:i/>
          <w:sz w:val="21"/>
          <w:szCs w:val="21"/>
          <w:lang w:val="en-AU"/>
        </w:rPr>
        <w:t>u’tah</w:t>
      </w:r>
      <w:r w:rsidR="00635601" w:rsidRPr="0017063C">
        <w:rPr>
          <w:sz w:val="21"/>
          <w:szCs w:val="21"/>
          <w:lang w:val="en-AU"/>
        </w:rPr>
        <w:t xml:space="preserve"> (temporary</w:t>
      </w:r>
      <w:r w:rsidR="00862C1C" w:rsidRPr="0017063C">
        <w:rPr>
          <w:sz w:val="21"/>
          <w:szCs w:val="21"/>
          <w:lang w:val="en-AU"/>
        </w:rPr>
        <w:t xml:space="preserve"> marriage</w:t>
      </w:r>
      <w:r w:rsidR="00635601" w:rsidRPr="0017063C">
        <w:rPr>
          <w:sz w:val="21"/>
          <w:szCs w:val="21"/>
          <w:lang w:val="en-AU"/>
        </w:rPr>
        <w:t>)</w:t>
      </w:r>
      <w:r w:rsidR="00862C1C" w:rsidRPr="0017063C">
        <w:rPr>
          <w:sz w:val="21"/>
          <w:szCs w:val="21"/>
          <w:lang w:val="en-AU"/>
        </w:rPr>
        <w:t>, trafficking of women and boys, increased child labour a</w:t>
      </w:r>
      <w:r w:rsidR="00091CB8" w:rsidRPr="0017063C">
        <w:rPr>
          <w:sz w:val="21"/>
          <w:szCs w:val="21"/>
          <w:lang w:val="en-AU"/>
        </w:rPr>
        <w:t>nd early marriage</w:t>
      </w:r>
      <w:r w:rsidR="0017063C" w:rsidRPr="0017063C">
        <w:rPr>
          <w:sz w:val="21"/>
          <w:szCs w:val="21"/>
          <w:vertAlign w:val="superscript"/>
          <w:lang w:val="en-AU"/>
        </w:rPr>
        <w:t>13</w:t>
      </w:r>
      <w:r w:rsidR="00862C1C" w:rsidRPr="0017063C">
        <w:rPr>
          <w:sz w:val="21"/>
          <w:szCs w:val="21"/>
          <w:lang w:val="en-AU"/>
        </w:rPr>
        <w:t xml:space="preserve">. </w:t>
      </w:r>
      <w:r w:rsidR="004C1FF9" w:rsidRPr="0017063C">
        <w:rPr>
          <w:sz w:val="21"/>
          <w:szCs w:val="21"/>
          <w:lang w:val="en-AU"/>
        </w:rPr>
        <w:t>Pr</w:t>
      </w:r>
      <w:r w:rsidR="00C34885" w:rsidRPr="0017063C">
        <w:rPr>
          <w:sz w:val="21"/>
          <w:szCs w:val="21"/>
          <w:lang w:val="en-AU"/>
        </w:rPr>
        <w:t>imary education is free in Iraq: 87.4% of girls are e</w:t>
      </w:r>
      <w:r w:rsidR="00DC7695" w:rsidRPr="0017063C">
        <w:rPr>
          <w:sz w:val="21"/>
          <w:szCs w:val="21"/>
          <w:lang w:val="en-AU"/>
        </w:rPr>
        <w:t>nrolled and 90%</w:t>
      </w:r>
      <w:r w:rsidR="00C30B82" w:rsidRPr="0017063C">
        <w:rPr>
          <w:sz w:val="21"/>
          <w:szCs w:val="21"/>
          <w:lang w:val="en-AU"/>
        </w:rPr>
        <w:t xml:space="preserve"> of boys but there are</w:t>
      </w:r>
      <w:r w:rsidR="00DC7695" w:rsidRPr="0017063C">
        <w:rPr>
          <w:sz w:val="21"/>
          <w:szCs w:val="21"/>
          <w:lang w:val="en-AU"/>
        </w:rPr>
        <w:t xml:space="preserve"> significant differences between rural and urban areas. Women are twice as</w:t>
      </w:r>
      <w:r w:rsidR="00091CB8" w:rsidRPr="0017063C">
        <w:rPr>
          <w:sz w:val="21"/>
          <w:szCs w:val="21"/>
          <w:lang w:val="en-AU"/>
        </w:rPr>
        <w:t xml:space="preserve"> likely as men to be illiterate</w:t>
      </w:r>
      <w:r w:rsidR="0017063C" w:rsidRPr="0017063C">
        <w:rPr>
          <w:sz w:val="21"/>
          <w:szCs w:val="21"/>
          <w:vertAlign w:val="superscript"/>
          <w:lang w:val="en-AU"/>
        </w:rPr>
        <w:t>14</w:t>
      </w:r>
      <w:r w:rsidR="00DC7695" w:rsidRPr="0017063C">
        <w:rPr>
          <w:sz w:val="21"/>
          <w:szCs w:val="21"/>
          <w:lang w:val="en-AU"/>
        </w:rPr>
        <w:t>.  Women and girls are less likely than men to read newspapers and rely primarily on television for inform</w:t>
      </w:r>
      <w:r w:rsidR="00091CB8" w:rsidRPr="0017063C">
        <w:rPr>
          <w:sz w:val="21"/>
          <w:szCs w:val="21"/>
          <w:lang w:val="en-AU"/>
        </w:rPr>
        <w:t>ation</w:t>
      </w:r>
      <w:r w:rsidR="0017063C" w:rsidRPr="0017063C">
        <w:rPr>
          <w:sz w:val="21"/>
          <w:szCs w:val="21"/>
          <w:vertAlign w:val="superscript"/>
          <w:lang w:val="en-AU"/>
        </w:rPr>
        <w:t>8</w:t>
      </w:r>
      <w:r w:rsidR="00DC7695" w:rsidRPr="0017063C">
        <w:rPr>
          <w:sz w:val="21"/>
          <w:szCs w:val="21"/>
          <w:lang w:val="en-AU"/>
        </w:rPr>
        <w:t xml:space="preserve">.  </w:t>
      </w:r>
    </w:p>
    <w:p w:rsidR="003C5C5B" w:rsidRPr="0017063C" w:rsidRDefault="003C5C5B" w:rsidP="009535BF">
      <w:pPr>
        <w:jc w:val="both"/>
        <w:rPr>
          <w:sz w:val="21"/>
          <w:szCs w:val="21"/>
          <w:lang w:val="en-AU"/>
        </w:rPr>
      </w:pPr>
    </w:p>
    <w:p w:rsidR="00A3791B" w:rsidRPr="0017063C" w:rsidRDefault="00635A15" w:rsidP="009535BF">
      <w:pPr>
        <w:jc w:val="both"/>
        <w:rPr>
          <w:sz w:val="21"/>
          <w:szCs w:val="21"/>
          <w:lang w:val="en-AU"/>
        </w:rPr>
      </w:pPr>
      <w:r w:rsidRPr="0017063C">
        <w:rPr>
          <w:b/>
          <w:color w:val="E36C0A" w:themeColor="accent6" w:themeShade="BF"/>
          <w:sz w:val="21"/>
          <w:szCs w:val="21"/>
          <w:lang w:val="en-AU"/>
        </w:rPr>
        <w:t>Participation:</w:t>
      </w:r>
      <w:r w:rsidRPr="0017063C">
        <w:rPr>
          <w:b/>
          <w:i/>
          <w:color w:val="E36C0A" w:themeColor="accent6" w:themeShade="BF"/>
          <w:sz w:val="21"/>
          <w:szCs w:val="21"/>
          <w:lang w:val="en-AU"/>
        </w:rPr>
        <w:t xml:space="preserve"> </w:t>
      </w:r>
      <w:r w:rsidR="00996CE2" w:rsidRPr="0017063C">
        <w:rPr>
          <w:sz w:val="21"/>
          <w:szCs w:val="21"/>
          <w:lang w:val="en-AU"/>
        </w:rPr>
        <w:t>Most Iraqi men</w:t>
      </w:r>
      <w:r w:rsidR="00C30B82" w:rsidRPr="0017063C">
        <w:rPr>
          <w:sz w:val="21"/>
          <w:szCs w:val="21"/>
          <w:lang w:val="en-AU"/>
        </w:rPr>
        <w:t xml:space="preserve"> believe that women have a limited</w:t>
      </w:r>
      <w:r w:rsidR="00120B1E" w:rsidRPr="0017063C">
        <w:rPr>
          <w:sz w:val="21"/>
          <w:szCs w:val="21"/>
          <w:lang w:val="en-AU"/>
        </w:rPr>
        <w:t xml:space="preserve"> </w:t>
      </w:r>
      <w:r w:rsidR="00996CE2" w:rsidRPr="0017063C">
        <w:rPr>
          <w:sz w:val="21"/>
          <w:szCs w:val="21"/>
          <w:lang w:val="en-AU"/>
        </w:rPr>
        <w:t xml:space="preserve">role in solving problems at the household level. The majority of women </w:t>
      </w:r>
      <w:r w:rsidR="00C30B82" w:rsidRPr="0017063C">
        <w:rPr>
          <w:sz w:val="21"/>
          <w:szCs w:val="21"/>
          <w:lang w:val="en-AU"/>
        </w:rPr>
        <w:t>require male permission to</w:t>
      </w:r>
      <w:r w:rsidR="00996CE2" w:rsidRPr="0017063C">
        <w:rPr>
          <w:sz w:val="21"/>
          <w:szCs w:val="21"/>
          <w:lang w:val="en-AU"/>
        </w:rPr>
        <w:t xml:space="preserve"> access health services: 72.4% in rural areas</w:t>
      </w:r>
      <w:r w:rsidR="009E1451" w:rsidRPr="0017063C">
        <w:rPr>
          <w:sz w:val="21"/>
          <w:szCs w:val="21"/>
          <w:lang w:val="en-AU"/>
        </w:rPr>
        <w:t>,</w:t>
      </w:r>
      <w:r w:rsidR="00996CE2" w:rsidRPr="0017063C">
        <w:rPr>
          <w:sz w:val="21"/>
          <w:szCs w:val="21"/>
          <w:lang w:val="en-AU"/>
        </w:rPr>
        <w:t xml:space="preserve"> 64.1% in urban</w:t>
      </w:r>
      <w:r w:rsidR="0017063C" w:rsidRPr="0017063C">
        <w:rPr>
          <w:sz w:val="21"/>
          <w:szCs w:val="21"/>
          <w:vertAlign w:val="superscript"/>
          <w:lang w:val="en-AU"/>
        </w:rPr>
        <w:t>4</w:t>
      </w:r>
      <w:r w:rsidR="00996CE2" w:rsidRPr="0017063C">
        <w:rPr>
          <w:sz w:val="21"/>
          <w:szCs w:val="21"/>
          <w:lang w:val="en-AU"/>
        </w:rPr>
        <w:t>. Nevertheless, consultation between couples is common with almost 60% of men reporting that they regular</w:t>
      </w:r>
      <w:r w:rsidR="00C30B82" w:rsidRPr="0017063C">
        <w:rPr>
          <w:sz w:val="21"/>
          <w:szCs w:val="21"/>
          <w:lang w:val="en-AU"/>
        </w:rPr>
        <w:t>ly discuss the household finances</w:t>
      </w:r>
      <w:r w:rsidR="00996CE2" w:rsidRPr="0017063C">
        <w:rPr>
          <w:sz w:val="21"/>
          <w:szCs w:val="21"/>
          <w:lang w:val="en-AU"/>
        </w:rPr>
        <w:t xml:space="preserve"> with their wife</w:t>
      </w:r>
      <w:r w:rsidR="0017063C" w:rsidRPr="0017063C">
        <w:rPr>
          <w:sz w:val="21"/>
          <w:szCs w:val="21"/>
          <w:vertAlign w:val="superscript"/>
          <w:lang w:val="en-AU"/>
        </w:rPr>
        <w:t>8</w:t>
      </w:r>
      <w:r w:rsidR="00996CE2" w:rsidRPr="0017063C">
        <w:rPr>
          <w:sz w:val="21"/>
          <w:szCs w:val="21"/>
          <w:lang w:val="en-AU"/>
        </w:rPr>
        <w:t xml:space="preserve">.  </w:t>
      </w:r>
      <w:r w:rsidR="009B7147" w:rsidRPr="0017063C">
        <w:rPr>
          <w:sz w:val="21"/>
          <w:szCs w:val="21"/>
          <w:lang w:val="en-AU"/>
        </w:rPr>
        <w:t>Many Iraqi men and women be</w:t>
      </w:r>
      <w:r w:rsidR="00120B1E" w:rsidRPr="0017063C">
        <w:rPr>
          <w:sz w:val="21"/>
          <w:szCs w:val="21"/>
          <w:lang w:val="en-AU"/>
        </w:rPr>
        <w:t xml:space="preserve">lieve that political participation </w:t>
      </w:r>
      <w:r w:rsidR="009B7147" w:rsidRPr="0017063C">
        <w:rPr>
          <w:sz w:val="21"/>
          <w:szCs w:val="21"/>
          <w:lang w:val="en-AU"/>
        </w:rPr>
        <w:t>is a man’s role</w:t>
      </w:r>
      <w:r w:rsidR="0017063C" w:rsidRPr="0017063C">
        <w:rPr>
          <w:sz w:val="21"/>
          <w:szCs w:val="21"/>
          <w:vertAlign w:val="superscript"/>
          <w:lang w:val="en-AU"/>
        </w:rPr>
        <w:t>14</w:t>
      </w:r>
      <w:r w:rsidR="009B7147" w:rsidRPr="0017063C">
        <w:rPr>
          <w:sz w:val="21"/>
          <w:szCs w:val="21"/>
          <w:lang w:val="en-AU"/>
        </w:rPr>
        <w:t>. Although women comprise over 25% of Parliamentarians, this has no</w:t>
      </w:r>
      <w:r w:rsidR="00120B1E" w:rsidRPr="0017063C">
        <w:rPr>
          <w:sz w:val="21"/>
          <w:szCs w:val="21"/>
          <w:lang w:val="en-AU"/>
        </w:rPr>
        <w:t>t</w:t>
      </w:r>
      <w:r w:rsidR="009B7147" w:rsidRPr="0017063C">
        <w:rPr>
          <w:sz w:val="21"/>
          <w:szCs w:val="21"/>
          <w:lang w:val="en-AU"/>
        </w:rPr>
        <w:t xml:space="preserve"> led to more inclusion of women’s issues</w:t>
      </w:r>
      <w:r w:rsidR="0017063C" w:rsidRPr="0017063C">
        <w:rPr>
          <w:sz w:val="21"/>
          <w:szCs w:val="21"/>
          <w:vertAlign w:val="superscript"/>
          <w:lang w:val="en-AU"/>
        </w:rPr>
        <w:t>6</w:t>
      </w:r>
      <w:r w:rsidR="009B7147" w:rsidRPr="0017063C">
        <w:rPr>
          <w:sz w:val="21"/>
          <w:szCs w:val="21"/>
          <w:lang w:val="en-AU"/>
        </w:rPr>
        <w:t xml:space="preserve">. </w:t>
      </w:r>
      <w:r w:rsidR="009E1451" w:rsidRPr="0017063C">
        <w:rPr>
          <w:sz w:val="21"/>
          <w:szCs w:val="21"/>
          <w:lang w:val="en-AU"/>
        </w:rPr>
        <w:t xml:space="preserve">Although in </w:t>
      </w:r>
      <w:r w:rsidR="00F41204" w:rsidRPr="0017063C">
        <w:rPr>
          <w:sz w:val="21"/>
          <w:szCs w:val="21"/>
          <w:lang w:val="en-AU"/>
        </w:rPr>
        <w:t>the KR</w:t>
      </w:r>
      <w:r w:rsidR="00247469" w:rsidRPr="0017063C">
        <w:rPr>
          <w:sz w:val="21"/>
          <w:szCs w:val="21"/>
          <w:lang w:val="en-AU"/>
        </w:rPr>
        <w:t>I</w:t>
      </w:r>
      <w:r w:rsidR="009E1451" w:rsidRPr="0017063C">
        <w:rPr>
          <w:sz w:val="21"/>
          <w:szCs w:val="21"/>
          <w:lang w:val="en-AU"/>
        </w:rPr>
        <w:t>, inclusion levels are higher (</w:t>
      </w:r>
      <w:r w:rsidR="00F41204" w:rsidRPr="0017063C">
        <w:rPr>
          <w:sz w:val="21"/>
          <w:szCs w:val="21"/>
          <w:lang w:val="en-AU"/>
        </w:rPr>
        <w:t>43% of parliamentarians women</w:t>
      </w:r>
      <w:r w:rsidR="009E1451" w:rsidRPr="0017063C">
        <w:rPr>
          <w:sz w:val="21"/>
          <w:szCs w:val="21"/>
          <w:lang w:val="en-AU"/>
        </w:rPr>
        <w:t xml:space="preserve"> 2014)</w:t>
      </w:r>
      <w:r w:rsidR="009E1451" w:rsidRPr="0017063C">
        <w:rPr>
          <w:rStyle w:val="EndnoteReference"/>
          <w:sz w:val="21"/>
          <w:szCs w:val="21"/>
          <w:lang w:val="en-AU"/>
        </w:rPr>
        <w:endnoteReference w:id="17"/>
      </w:r>
      <w:r w:rsidR="00F41204" w:rsidRPr="0017063C">
        <w:rPr>
          <w:sz w:val="21"/>
          <w:szCs w:val="21"/>
          <w:lang w:val="en-AU"/>
        </w:rPr>
        <w:t xml:space="preserve">. </w:t>
      </w:r>
      <w:r w:rsidR="009B7147" w:rsidRPr="0017063C">
        <w:rPr>
          <w:sz w:val="21"/>
          <w:szCs w:val="21"/>
          <w:lang w:val="en-AU"/>
        </w:rPr>
        <w:t xml:space="preserve">Women remain under-represented at local government levels. In the past, the </w:t>
      </w:r>
      <w:r w:rsidR="00F93224" w:rsidRPr="0017063C">
        <w:rPr>
          <w:sz w:val="21"/>
          <w:szCs w:val="21"/>
          <w:lang w:val="en-AU"/>
        </w:rPr>
        <w:t xml:space="preserve">Ba’athist </w:t>
      </w:r>
      <w:r w:rsidR="00F93224" w:rsidRPr="0017063C">
        <w:rPr>
          <w:i/>
          <w:sz w:val="21"/>
          <w:szCs w:val="21"/>
          <w:lang w:val="en-AU"/>
        </w:rPr>
        <w:t xml:space="preserve">Federation </w:t>
      </w:r>
      <w:proofErr w:type="gramStart"/>
      <w:r w:rsidR="00F93224" w:rsidRPr="0017063C">
        <w:rPr>
          <w:i/>
          <w:sz w:val="21"/>
          <w:szCs w:val="21"/>
          <w:lang w:val="en-AU"/>
        </w:rPr>
        <w:t>of  Iraqi</w:t>
      </w:r>
      <w:proofErr w:type="gramEnd"/>
      <w:r w:rsidR="00F93224" w:rsidRPr="0017063C">
        <w:rPr>
          <w:i/>
          <w:sz w:val="21"/>
          <w:szCs w:val="21"/>
          <w:lang w:val="en-AU"/>
        </w:rPr>
        <w:t xml:space="preserve"> Women</w:t>
      </w:r>
      <w:r w:rsidR="00F93224" w:rsidRPr="0017063C">
        <w:rPr>
          <w:sz w:val="21"/>
          <w:szCs w:val="21"/>
          <w:lang w:val="en-AU"/>
        </w:rPr>
        <w:t xml:space="preserve"> (GFIZ) had branches in every village in Iraq and many women were active in community organisations like school boards</w:t>
      </w:r>
      <w:r w:rsidR="0017063C" w:rsidRPr="0017063C">
        <w:rPr>
          <w:sz w:val="21"/>
          <w:szCs w:val="21"/>
          <w:vertAlign w:val="superscript"/>
          <w:lang w:val="en-AU"/>
        </w:rPr>
        <w:t>19</w:t>
      </w:r>
      <w:r w:rsidR="00F93224" w:rsidRPr="0017063C">
        <w:rPr>
          <w:sz w:val="21"/>
          <w:szCs w:val="21"/>
          <w:lang w:val="en-AU"/>
        </w:rPr>
        <w:t>. Today, less than 10% of wo</w:t>
      </w:r>
      <w:r w:rsidR="00635601" w:rsidRPr="0017063C">
        <w:rPr>
          <w:sz w:val="21"/>
          <w:szCs w:val="21"/>
          <w:lang w:val="en-AU"/>
        </w:rPr>
        <w:t>men participate in local</w:t>
      </w:r>
      <w:r w:rsidR="00F93224" w:rsidRPr="0017063C">
        <w:rPr>
          <w:sz w:val="21"/>
          <w:szCs w:val="21"/>
          <w:lang w:val="en-AU"/>
        </w:rPr>
        <w:t xml:space="preserve"> civil society</w:t>
      </w:r>
      <w:r w:rsidR="0017063C" w:rsidRPr="0017063C">
        <w:rPr>
          <w:sz w:val="21"/>
          <w:szCs w:val="21"/>
          <w:vertAlign w:val="superscript"/>
          <w:lang w:val="en-AU"/>
        </w:rPr>
        <w:t>14</w:t>
      </w:r>
      <w:r w:rsidR="00535A04" w:rsidRPr="0017063C">
        <w:rPr>
          <w:sz w:val="21"/>
          <w:szCs w:val="21"/>
          <w:lang w:val="en-AU"/>
        </w:rPr>
        <w:t xml:space="preserve">.  </w:t>
      </w:r>
      <w:r w:rsidR="00A3791B" w:rsidRPr="0017063C">
        <w:rPr>
          <w:sz w:val="21"/>
          <w:szCs w:val="21"/>
          <w:lang w:val="en-AU"/>
        </w:rPr>
        <w:t>Access and free movement</w:t>
      </w:r>
      <w:r w:rsidR="00CB7BE7" w:rsidRPr="0017063C">
        <w:rPr>
          <w:sz w:val="21"/>
          <w:szCs w:val="21"/>
          <w:lang w:val="en-AU"/>
        </w:rPr>
        <w:t xml:space="preserve"> especially for women and girls</w:t>
      </w:r>
      <w:r w:rsidR="00A3791B" w:rsidRPr="0017063C">
        <w:rPr>
          <w:sz w:val="21"/>
          <w:szCs w:val="21"/>
          <w:lang w:val="en-AU"/>
        </w:rPr>
        <w:t xml:space="preserve"> are closely linked to the</w:t>
      </w:r>
      <w:r w:rsidR="00E36C5C" w:rsidRPr="0017063C">
        <w:rPr>
          <w:sz w:val="21"/>
          <w:szCs w:val="21"/>
          <w:lang w:val="en-AU"/>
        </w:rPr>
        <w:t xml:space="preserve"> security situation. Foran</w:t>
      </w:r>
      <w:r w:rsidR="00C30B82" w:rsidRPr="0017063C">
        <w:rPr>
          <w:sz w:val="21"/>
          <w:szCs w:val="21"/>
          <w:lang w:val="en-AU"/>
        </w:rPr>
        <w:t xml:space="preserve"> (2008)</w:t>
      </w:r>
      <w:r w:rsidR="00E36C5C" w:rsidRPr="0017063C">
        <w:rPr>
          <w:sz w:val="21"/>
          <w:szCs w:val="21"/>
          <w:lang w:val="en-AU"/>
        </w:rPr>
        <w:t xml:space="preserve"> reported</w:t>
      </w:r>
      <w:r w:rsidR="00A3791B" w:rsidRPr="0017063C">
        <w:rPr>
          <w:sz w:val="21"/>
          <w:szCs w:val="21"/>
          <w:lang w:val="en-AU"/>
        </w:rPr>
        <w:t xml:space="preserve"> that “</w:t>
      </w:r>
      <w:r w:rsidR="00A3791B" w:rsidRPr="0017063C">
        <w:rPr>
          <w:i/>
          <w:sz w:val="21"/>
          <w:szCs w:val="21"/>
          <w:lang w:val="en-AU"/>
        </w:rPr>
        <w:t xml:space="preserve">the constant threat of such violence has </w:t>
      </w:r>
      <w:r w:rsidR="00B456D8" w:rsidRPr="0017063C">
        <w:rPr>
          <w:i/>
          <w:sz w:val="21"/>
          <w:szCs w:val="21"/>
          <w:lang w:val="en-AU"/>
        </w:rPr>
        <w:t>immobilised</w:t>
      </w:r>
      <w:r w:rsidR="00A3791B" w:rsidRPr="0017063C">
        <w:rPr>
          <w:i/>
          <w:sz w:val="21"/>
          <w:szCs w:val="21"/>
          <w:lang w:val="en-AU"/>
        </w:rPr>
        <w:t xml:space="preserve"> women and girls not directly </w:t>
      </w:r>
      <w:r w:rsidR="00E36C5C" w:rsidRPr="0017063C">
        <w:rPr>
          <w:i/>
          <w:sz w:val="21"/>
          <w:szCs w:val="21"/>
          <w:lang w:val="en-AU"/>
        </w:rPr>
        <w:t xml:space="preserve">affected by the violence to the effect that they will not or cannot leave the home to access </w:t>
      </w:r>
      <w:r w:rsidR="00B456D8" w:rsidRPr="0017063C">
        <w:rPr>
          <w:i/>
          <w:sz w:val="21"/>
          <w:szCs w:val="21"/>
          <w:lang w:val="en-AU"/>
        </w:rPr>
        <w:t>essential</w:t>
      </w:r>
      <w:r w:rsidR="00E36C5C" w:rsidRPr="0017063C">
        <w:rPr>
          <w:i/>
          <w:sz w:val="21"/>
          <w:szCs w:val="21"/>
          <w:lang w:val="en-AU"/>
        </w:rPr>
        <w:t xml:space="preserve"> services</w:t>
      </w:r>
      <w:r w:rsidR="00E36C5C" w:rsidRPr="0017063C">
        <w:rPr>
          <w:sz w:val="21"/>
          <w:szCs w:val="21"/>
          <w:lang w:val="en-AU"/>
        </w:rPr>
        <w:t xml:space="preserve">”. </w:t>
      </w:r>
    </w:p>
    <w:p w:rsidR="00635A15" w:rsidRPr="0017063C" w:rsidRDefault="00635A15" w:rsidP="009535BF">
      <w:pPr>
        <w:jc w:val="both"/>
        <w:rPr>
          <w:b/>
          <w:i/>
          <w:sz w:val="21"/>
          <w:szCs w:val="21"/>
          <w:lang w:val="en-AU"/>
        </w:rPr>
      </w:pPr>
    </w:p>
    <w:p w:rsidR="00097096" w:rsidRPr="0017063C" w:rsidRDefault="00750729" w:rsidP="009535BF">
      <w:pPr>
        <w:jc w:val="both"/>
        <w:rPr>
          <w:i/>
          <w:sz w:val="21"/>
          <w:szCs w:val="21"/>
          <w:lang w:val="en-AU"/>
        </w:rPr>
      </w:pPr>
      <w:r w:rsidRPr="0017063C">
        <w:rPr>
          <w:b/>
          <w:color w:val="E36C0A" w:themeColor="accent6" w:themeShade="BF"/>
          <w:sz w:val="21"/>
          <w:szCs w:val="21"/>
          <w:lang w:val="en-AU"/>
        </w:rPr>
        <w:t>Gender Based Violence</w:t>
      </w:r>
      <w:r w:rsidR="009535BF" w:rsidRPr="0017063C">
        <w:rPr>
          <w:b/>
          <w:color w:val="E36C0A" w:themeColor="accent6" w:themeShade="BF"/>
          <w:sz w:val="21"/>
          <w:szCs w:val="21"/>
          <w:lang w:val="en-AU"/>
        </w:rPr>
        <w:t xml:space="preserve"> and Protection</w:t>
      </w:r>
      <w:r w:rsidR="00097096" w:rsidRPr="0017063C">
        <w:rPr>
          <w:b/>
          <w:color w:val="E36C0A" w:themeColor="accent6" w:themeShade="BF"/>
          <w:sz w:val="21"/>
          <w:szCs w:val="21"/>
          <w:lang w:val="en-AU"/>
        </w:rPr>
        <w:t xml:space="preserve">: </w:t>
      </w:r>
      <w:r w:rsidR="00097096" w:rsidRPr="0017063C">
        <w:rPr>
          <w:sz w:val="21"/>
          <w:szCs w:val="21"/>
          <w:lang w:val="en-AU"/>
        </w:rPr>
        <w:t>Protection concerns and gender based violence</w:t>
      </w:r>
      <w:r w:rsidR="00C30B82" w:rsidRPr="0017063C">
        <w:rPr>
          <w:sz w:val="21"/>
          <w:szCs w:val="21"/>
          <w:lang w:val="en-AU"/>
        </w:rPr>
        <w:t xml:space="preserve"> issues</w:t>
      </w:r>
      <w:r w:rsidR="00097096" w:rsidRPr="0017063C">
        <w:rPr>
          <w:sz w:val="21"/>
          <w:szCs w:val="21"/>
          <w:lang w:val="en-AU"/>
        </w:rPr>
        <w:t xml:space="preserve"> </w:t>
      </w:r>
      <w:r w:rsidR="00C30B82" w:rsidRPr="0017063C">
        <w:rPr>
          <w:sz w:val="21"/>
          <w:szCs w:val="21"/>
          <w:lang w:val="en-AU"/>
        </w:rPr>
        <w:t>are relatively well</w:t>
      </w:r>
      <w:r w:rsidR="00B74BBD" w:rsidRPr="0017063C">
        <w:rPr>
          <w:sz w:val="21"/>
          <w:szCs w:val="21"/>
          <w:lang w:val="en-AU"/>
        </w:rPr>
        <w:t xml:space="preserve"> documented</w:t>
      </w:r>
      <w:r w:rsidR="00C30B82" w:rsidRPr="0017063C">
        <w:rPr>
          <w:sz w:val="21"/>
          <w:szCs w:val="21"/>
          <w:lang w:val="en-AU"/>
        </w:rPr>
        <w:t xml:space="preserve"> but</w:t>
      </w:r>
      <w:r w:rsidR="00C33930" w:rsidRPr="0017063C">
        <w:rPr>
          <w:sz w:val="21"/>
          <w:szCs w:val="21"/>
          <w:lang w:val="en-AU"/>
        </w:rPr>
        <w:t xml:space="preserve"> the</w:t>
      </w:r>
      <w:r w:rsidR="00C30B82" w:rsidRPr="0017063C">
        <w:rPr>
          <w:sz w:val="21"/>
          <w:szCs w:val="21"/>
          <w:lang w:val="en-AU"/>
        </w:rPr>
        <w:t>re remains little case reporting and limited services</w:t>
      </w:r>
      <w:r w:rsidR="00C33930" w:rsidRPr="0017063C">
        <w:rPr>
          <w:sz w:val="21"/>
          <w:szCs w:val="21"/>
          <w:lang w:val="en-AU"/>
        </w:rPr>
        <w:t xml:space="preserve"> for survivors. </w:t>
      </w:r>
      <w:r w:rsidR="00B74BBD" w:rsidRPr="0017063C">
        <w:rPr>
          <w:sz w:val="21"/>
          <w:szCs w:val="21"/>
          <w:lang w:val="en-AU"/>
        </w:rPr>
        <w:t xml:space="preserve">The 2012 I-WISH reported that 46% of married women had been exposed to </w:t>
      </w:r>
      <w:r w:rsidR="00C30B82" w:rsidRPr="0017063C">
        <w:rPr>
          <w:sz w:val="21"/>
          <w:szCs w:val="21"/>
          <w:lang w:val="en-AU"/>
        </w:rPr>
        <w:t xml:space="preserve">at least </w:t>
      </w:r>
      <w:r w:rsidR="00B74BBD" w:rsidRPr="0017063C">
        <w:rPr>
          <w:sz w:val="21"/>
          <w:szCs w:val="21"/>
          <w:lang w:val="en-AU"/>
        </w:rPr>
        <w:t xml:space="preserve">one kind of domestic violence (emotional, physical </w:t>
      </w:r>
      <w:r w:rsidR="00AB3BC6" w:rsidRPr="0017063C">
        <w:rPr>
          <w:sz w:val="21"/>
          <w:szCs w:val="21"/>
          <w:lang w:val="en-AU"/>
        </w:rPr>
        <w:t>or sexual) while 46% of girls (10-14 y</w:t>
      </w:r>
      <w:r w:rsidR="00165115" w:rsidRPr="0017063C">
        <w:rPr>
          <w:sz w:val="21"/>
          <w:szCs w:val="21"/>
          <w:lang w:val="en-AU"/>
        </w:rPr>
        <w:t>rs</w:t>
      </w:r>
      <w:r w:rsidR="00AB3BC6" w:rsidRPr="0017063C">
        <w:rPr>
          <w:sz w:val="21"/>
          <w:szCs w:val="21"/>
          <w:lang w:val="en-AU"/>
        </w:rPr>
        <w:t>)</w:t>
      </w:r>
      <w:r w:rsidR="00165115" w:rsidRPr="0017063C">
        <w:rPr>
          <w:sz w:val="21"/>
          <w:szCs w:val="21"/>
          <w:lang w:val="en-AU"/>
        </w:rPr>
        <w:t xml:space="preserve"> reported violence (beaten or insulted) by a family member. This was les</w:t>
      </w:r>
      <w:r w:rsidR="003141FF" w:rsidRPr="0017063C">
        <w:rPr>
          <w:sz w:val="21"/>
          <w:szCs w:val="21"/>
          <w:lang w:val="en-AU"/>
        </w:rPr>
        <w:t>s common in Kurdish Region of Iraq (KRI)</w:t>
      </w:r>
      <w:r w:rsidR="00AB3BC6" w:rsidRPr="0017063C">
        <w:rPr>
          <w:sz w:val="21"/>
          <w:szCs w:val="21"/>
          <w:lang w:val="en-AU"/>
        </w:rPr>
        <w:t xml:space="preserve"> than in other parts of the country</w:t>
      </w:r>
      <w:r w:rsidR="00165115" w:rsidRPr="0017063C">
        <w:rPr>
          <w:sz w:val="21"/>
          <w:szCs w:val="21"/>
          <w:lang w:val="en-AU"/>
        </w:rPr>
        <w:t>.</w:t>
      </w:r>
      <w:r w:rsidR="00B74BBD" w:rsidRPr="0017063C">
        <w:rPr>
          <w:sz w:val="21"/>
          <w:szCs w:val="21"/>
          <w:lang w:val="en-AU"/>
        </w:rPr>
        <w:t xml:space="preserve"> </w:t>
      </w:r>
      <w:r w:rsidR="00C33930" w:rsidRPr="0017063C">
        <w:rPr>
          <w:sz w:val="21"/>
          <w:szCs w:val="21"/>
          <w:lang w:val="en-AU"/>
        </w:rPr>
        <w:t xml:space="preserve">KRI has much higher levels of female </w:t>
      </w:r>
      <w:r w:rsidR="00B456D8" w:rsidRPr="0017063C">
        <w:rPr>
          <w:sz w:val="21"/>
          <w:szCs w:val="21"/>
          <w:lang w:val="en-AU"/>
        </w:rPr>
        <w:t>genital</w:t>
      </w:r>
      <w:r w:rsidR="00C33930" w:rsidRPr="0017063C">
        <w:rPr>
          <w:sz w:val="21"/>
          <w:szCs w:val="21"/>
          <w:lang w:val="en-AU"/>
        </w:rPr>
        <w:t xml:space="preserve"> cutting (44% of women)</w:t>
      </w:r>
      <w:r w:rsidR="004C5743" w:rsidRPr="0017063C">
        <w:rPr>
          <w:sz w:val="21"/>
          <w:szCs w:val="21"/>
          <w:lang w:val="en-AU"/>
        </w:rPr>
        <w:t xml:space="preserve"> than </w:t>
      </w:r>
      <w:r w:rsidR="004C5743" w:rsidRPr="0017063C">
        <w:rPr>
          <w:sz w:val="21"/>
          <w:szCs w:val="21"/>
          <w:lang w:val="en-AU"/>
        </w:rPr>
        <w:lastRenderedPageBreak/>
        <w:t>other parts of Iraq (1%)</w:t>
      </w:r>
      <w:r w:rsidR="0017063C" w:rsidRPr="0017063C">
        <w:rPr>
          <w:sz w:val="21"/>
          <w:szCs w:val="21"/>
          <w:vertAlign w:val="superscript"/>
          <w:lang w:val="en-AU"/>
        </w:rPr>
        <w:t>16</w:t>
      </w:r>
      <w:r w:rsidR="00A77E6A" w:rsidRPr="0017063C">
        <w:rPr>
          <w:sz w:val="21"/>
          <w:szCs w:val="21"/>
          <w:lang w:val="en-AU"/>
        </w:rPr>
        <w:t xml:space="preserve"> and high levels of “self-immolation” (suicide by setting on fire) which is commonly perceived as violence against women</w:t>
      </w:r>
      <w:r w:rsidR="0017063C" w:rsidRPr="0017063C">
        <w:rPr>
          <w:sz w:val="21"/>
          <w:szCs w:val="21"/>
          <w:vertAlign w:val="superscript"/>
          <w:lang w:val="en-AU"/>
        </w:rPr>
        <w:t>17</w:t>
      </w:r>
      <w:r w:rsidR="00C33930" w:rsidRPr="0017063C">
        <w:rPr>
          <w:sz w:val="21"/>
          <w:szCs w:val="21"/>
          <w:lang w:val="en-AU"/>
        </w:rPr>
        <w:t xml:space="preserve">. </w:t>
      </w:r>
      <w:r w:rsidR="00165115" w:rsidRPr="0017063C">
        <w:rPr>
          <w:sz w:val="21"/>
          <w:szCs w:val="21"/>
          <w:lang w:val="en-AU"/>
        </w:rPr>
        <w:t xml:space="preserve">Levels of reporting </w:t>
      </w:r>
      <w:r w:rsidR="00AB3BC6" w:rsidRPr="0017063C">
        <w:rPr>
          <w:sz w:val="21"/>
          <w:szCs w:val="21"/>
          <w:lang w:val="en-AU"/>
        </w:rPr>
        <w:t xml:space="preserve">all types of </w:t>
      </w:r>
      <w:r w:rsidR="00165115" w:rsidRPr="0017063C">
        <w:rPr>
          <w:sz w:val="21"/>
          <w:szCs w:val="21"/>
          <w:lang w:val="en-AU"/>
        </w:rPr>
        <w:t xml:space="preserve">violence </w:t>
      </w:r>
      <w:r w:rsidR="00AB3BC6" w:rsidRPr="0017063C">
        <w:rPr>
          <w:sz w:val="21"/>
          <w:szCs w:val="21"/>
          <w:lang w:val="en-AU"/>
        </w:rPr>
        <w:t>against women are low</w:t>
      </w:r>
      <w:r w:rsidR="00C33930" w:rsidRPr="0017063C">
        <w:rPr>
          <w:sz w:val="21"/>
          <w:szCs w:val="21"/>
          <w:lang w:val="en-AU"/>
        </w:rPr>
        <w:t>.</w:t>
      </w:r>
      <w:r w:rsidR="00165115" w:rsidRPr="0017063C">
        <w:rPr>
          <w:sz w:val="21"/>
          <w:szCs w:val="21"/>
          <w:lang w:val="en-AU"/>
        </w:rPr>
        <w:t xml:space="preserve"> Early marria</w:t>
      </w:r>
      <w:r w:rsidR="00C33930" w:rsidRPr="0017063C">
        <w:rPr>
          <w:sz w:val="21"/>
          <w:szCs w:val="21"/>
          <w:lang w:val="en-AU"/>
        </w:rPr>
        <w:t xml:space="preserve">ge is </w:t>
      </w:r>
      <w:r w:rsidR="00AB3BC6" w:rsidRPr="0017063C">
        <w:rPr>
          <w:sz w:val="21"/>
          <w:szCs w:val="21"/>
          <w:lang w:val="en-AU"/>
        </w:rPr>
        <w:t>an issue for young women:</w:t>
      </w:r>
      <w:r w:rsidR="00C33930" w:rsidRPr="0017063C">
        <w:rPr>
          <w:sz w:val="21"/>
          <w:szCs w:val="21"/>
          <w:lang w:val="en-AU"/>
        </w:rPr>
        <w:t xml:space="preserve"> </w:t>
      </w:r>
      <w:r w:rsidR="00165115" w:rsidRPr="0017063C">
        <w:rPr>
          <w:sz w:val="21"/>
          <w:szCs w:val="21"/>
          <w:lang w:val="en-AU"/>
        </w:rPr>
        <w:t xml:space="preserve">5% reported being married below 15 years </w:t>
      </w:r>
      <w:r w:rsidR="004C5743" w:rsidRPr="0017063C">
        <w:rPr>
          <w:sz w:val="21"/>
          <w:szCs w:val="21"/>
          <w:lang w:val="en-AU"/>
        </w:rPr>
        <w:t>old and 22% below 18 years old</w:t>
      </w:r>
      <w:r w:rsidR="0017063C" w:rsidRPr="0017063C">
        <w:rPr>
          <w:sz w:val="21"/>
          <w:szCs w:val="21"/>
          <w:vertAlign w:val="superscript"/>
          <w:lang w:val="en-AU"/>
        </w:rPr>
        <w:t>2</w:t>
      </w:r>
      <w:r w:rsidR="00AB3BC6" w:rsidRPr="0017063C">
        <w:rPr>
          <w:sz w:val="21"/>
          <w:szCs w:val="21"/>
          <w:lang w:val="en-AU"/>
        </w:rPr>
        <w:t>. In another survey, most</w:t>
      </w:r>
      <w:r w:rsidR="00165115" w:rsidRPr="0017063C">
        <w:rPr>
          <w:sz w:val="21"/>
          <w:szCs w:val="21"/>
          <w:lang w:val="en-AU"/>
        </w:rPr>
        <w:t xml:space="preserve"> women reported feeling unable to walk freely down the stree</w:t>
      </w:r>
      <w:r w:rsidR="004C5743" w:rsidRPr="0017063C">
        <w:rPr>
          <w:sz w:val="21"/>
          <w:szCs w:val="21"/>
          <w:lang w:val="en-AU"/>
        </w:rPr>
        <w:t>t because of sexual harassment</w:t>
      </w:r>
      <w:r w:rsidR="004C5743" w:rsidRPr="0017063C">
        <w:rPr>
          <w:rStyle w:val="EndnoteReference"/>
          <w:sz w:val="21"/>
          <w:szCs w:val="21"/>
          <w:lang w:val="en-AU"/>
        </w:rPr>
        <w:endnoteReference w:id="18"/>
      </w:r>
      <w:r w:rsidR="00165115" w:rsidRPr="0017063C">
        <w:rPr>
          <w:sz w:val="21"/>
          <w:szCs w:val="21"/>
          <w:lang w:val="en-AU"/>
        </w:rPr>
        <w:t xml:space="preserve">.  </w:t>
      </w:r>
      <w:r w:rsidR="00165115" w:rsidRPr="0017063C">
        <w:rPr>
          <w:i/>
          <w:sz w:val="21"/>
          <w:szCs w:val="21"/>
          <w:lang w:val="en-AU"/>
        </w:rPr>
        <w:t>Al-mu’tah</w:t>
      </w:r>
      <w:r w:rsidR="00165115" w:rsidRPr="0017063C">
        <w:rPr>
          <w:sz w:val="21"/>
          <w:szCs w:val="21"/>
          <w:lang w:val="en-AU"/>
        </w:rPr>
        <w:t xml:space="preserve"> </w:t>
      </w:r>
      <w:r w:rsidR="00C33930" w:rsidRPr="0017063C">
        <w:rPr>
          <w:sz w:val="21"/>
          <w:szCs w:val="21"/>
          <w:lang w:val="en-AU"/>
        </w:rPr>
        <w:t>(</w:t>
      </w:r>
      <w:r w:rsidR="00165115" w:rsidRPr="0017063C">
        <w:rPr>
          <w:sz w:val="21"/>
          <w:szCs w:val="21"/>
          <w:lang w:val="en-AU"/>
        </w:rPr>
        <w:t>temporary marriages</w:t>
      </w:r>
      <w:r w:rsidR="00C33930" w:rsidRPr="0017063C">
        <w:rPr>
          <w:sz w:val="21"/>
          <w:szCs w:val="21"/>
          <w:lang w:val="en-AU"/>
        </w:rPr>
        <w:t>)</w:t>
      </w:r>
      <w:r w:rsidR="00165115" w:rsidRPr="0017063C">
        <w:rPr>
          <w:sz w:val="21"/>
          <w:szCs w:val="21"/>
          <w:lang w:val="en-AU"/>
        </w:rPr>
        <w:t xml:space="preserve"> have become more common since 2003 and off</w:t>
      </w:r>
      <w:r w:rsidR="004C5743" w:rsidRPr="0017063C">
        <w:rPr>
          <w:sz w:val="21"/>
          <w:szCs w:val="21"/>
          <w:lang w:val="en-AU"/>
        </w:rPr>
        <w:t>er fewer protections for women</w:t>
      </w:r>
      <w:r w:rsidR="0017063C" w:rsidRPr="0017063C">
        <w:rPr>
          <w:sz w:val="21"/>
          <w:szCs w:val="21"/>
          <w:vertAlign w:val="superscript"/>
          <w:lang w:val="en-AU"/>
        </w:rPr>
        <w:t>6</w:t>
      </w:r>
      <w:r w:rsidR="00165115" w:rsidRPr="0017063C">
        <w:rPr>
          <w:sz w:val="21"/>
          <w:szCs w:val="21"/>
          <w:lang w:val="en-AU"/>
        </w:rPr>
        <w:t>.</w:t>
      </w:r>
      <w:r w:rsidR="00C33930" w:rsidRPr="0017063C">
        <w:rPr>
          <w:sz w:val="21"/>
          <w:szCs w:val="21"/>
          <w:lang w:val="en-AU"/>
        </w:rPr>
        <w:t xml:space="preserve"> Iraq is both a source and a destination for trafficking of women</w:t>
      </w:r>
      <w:r w:rsidR="00AB3BC6" w:rsidRPr="0017063C">
        <w:rPr>
          <w:sz w:val="21"/>
          <w:szCs w:val="21"/>
          <w:lang w:val="en-AU"/>
        </w:rPr>
        <w:t>, girls,</w:t>
      </w:r>
      <w:r w:rsidR="00C33930" w:rsidRPr="0017063C">
        <w:rPr>
          <w:sz w:val="21"/>
          <w:szCs w:val="21"/>
          <w:lang w:val="en-AU"/>
        </w:rPr>
        <w:t xml:space="preserve"> and boys. </w:t>
      </w:r>
      <w:r w:rsidR="00165115" w:rsidRPr="0017063C">
        <w:rPr>
          <w:sz w:val="21"/>
          <w:szCs w:val="21"/>
          <w:lang w:val="en-AU"/>
        </w:rPr>
        <w:t>So called ‘</w:t>
      </w:r>
      <w:r w:rsidR="00165115" w:rsidRPr="0017063C">
        <w:rPr>
          <w:i/>
          <w:sz w:val="21"/>
          <w:szCs w:val="21"/>
          <w:lang w:val="en-AU"/>
        </w:rPr>
        <w:t>honour killings</w:t>
      </w:r>
      <w:r w:rsidR="00165115" w:rsidRPr="0017063C">
        <w:rPr>
          <w:sz w:val="21"/>
          <w:szCs w:val="21"/>
          <w:lang w:val="en-AU"/>
        </w:rPr>
        <w:t xml:space="preserve">’ </w:t>
      </w:r>
      <w:r w:rsidR="00C33930" w:rsidRPr="0017063C">
        <w:rPr>
          <w:sz w:val="21"/>
          <w:szCs w:val="21"/>
          <w:lang w:val="en-AU"/>
        </w:rPr>
        <w:t xml:space="preserve">by family members </w:t>
      </w:r>
      <w:r w:rsidR="00165115" w:rsidRPr="0017063C">
        <w:rPr>
          <w:sz w:val="21"/>
          <w:szCs w:val="21"/>
          <w:lang w:val="en-AU"/>
        </w:rPr>
        <w:t>may be a consequence of reporting rape or trafficking</w:t>
      </w:r>
      <w:r w:rsidR="0017063C" w:rsidRPr="0017063C">
        <w:rPr>
          <w:sz w:val="21"/>
          <w:szCs w:val="21"/>
          <w:vertAlign w:val="superscript"/>
          <w:lang w:val="en-AU"/>
        </w:rPr>
        <w:t>7</w:t>
      </w:r>
      <w:r w:rsidR="00165115" w:rsidRPr="0017063C">
        <w:rPr>
          <w:sz w:val="21"/>
          <w:szCs w:val="21"/>
          <w:lang w:val="en-AU"/>
        </w:rPr>
        <w:t xml:space="preserve">. </w:t>
      </w:r>
      <w:r w:rsidR="00B74BBD" w:rsidRPr="0017063C">
        <w:rPr>
          <w:sz w:val="21"/>
          <w:szCs w:val="21"/>
          <w:lang w:val="en-AU"/>
        </w:rPr>
        <w:t xml:space="preserve"> </w:t>
      </w:r>
    </w:p>
    <w:p w:rsidR="00635A15" w:rsidRPr="0017063C" w:rsidRDefault="00635A15" w:rsidP="009535BF">
      <w:pPr>
        <w:jc w:val="both"/>
        <w:rPr>
          <w:i/>
          <w:sz w:val="21"/>
          <w:szCs w:val="21"/>
          <w:lang w:val="en-AU"/>
        </w:rPr>
      </w:pPr>
    </w:p>
    <w:p w:rsidR="001B2BA2" w:rsidRPr="0017063C" w:rsidRDefault="00635A15" w:rsidP="001B2BA2">
      <w:pPr>
        <w:jc w:val="both"/>
        <w:rPr>
          <w:sz w:val="21"/>
          <w:szCs w:val="21"/>
        </w:rPr>
      </w:pPr>
      <w:r w:rsidRPr="0017063C">
        <w:rPr>
          <w:b/>
          <w:color w:val="E36C0A" w:themeColor="accent6" w:themeShade="BF"/>
          <w:sz w:val="21"/>
          <w:szCs w:val="21"/>
          <w:lang w:val="en-AU"/>
        </w:rPr>
        <w:t>Legal and Policy Framework</w:t>
      </w:r>
      <w:r w:rsidRPr="0017063C">
        <w:rPr>
          <w:i/>
          <w:color w:val="E36C0A" w:themeColor="accent6" w:themeShade="BF"/>
          <w:sz w:val="21"/>
          <w:szCs w:val="21"/>
          <w:lang w:val="en-AU"/>
        </w:rPr>
        <w:t>:</w:t>
      </w:r>
      <w:r w:rsidR="00B94B8A" w:rsidRPr="0017063C">
        <w:rPr>
          <w:i/>
          <w:color w:val="E36C0A" w:themeColor="accent6" w:themeShade="BF"/>
          <w:sz w:val="21"/>
          <w:szCs w:val="21"/>
          <w:lang w:val="en-AU"/>
        </w:rPr>
        <w:t xml:space="preserve"> </w:t>
      </w:r>
      <w:r w:rsidR="00B94B8A" w:rsidRPr="0017063C">
        <w:rPr>
          <w:sz w:val="21"/>
          <w:szCs w:val="21"/>
          <w:lang w:val="en-AU"/>
        </w:rPr>
        <w:t>Iraq has had legal provision</w:t>
      </w:r>
      <w:r w:rsidR="00AB3BC6" w:rsidRPr="0017063C">
        <w:rPr>
          <w:sz w:val="21"/>
          <w:szCs w:val="21"/>
          <w:lang w:val="en-AU"/>
        </w:rPr>
        <w:t>s on gender equality since 1959</w:t>
      </w:r>
      <w:r w:rsidR="003141FF" w:rsidRPr="0017063C">
        <w:rPr>
          <w:sz w:val="21"/>
          <w:szCs w:val="21"/>
          <w:lang w:val="en-AU"/>
        </w:rPr>
        <w:t>.</w:t>
      </w:r>
      <w:r w:rsidR="00B94B8A" w:rsidRPr="0017063C">
        <w:rPr>
          <w:sz w:val="21"/>
          <w:szCs w:val="21"/>
          <w:lang w:val="en-AU"/>
        </w:rPr>
        <w:t xml:space="preserve"> I</w:t>
      </w:r>
      <w:r w:rsidR="003141FF" w:rsidRPr="0017063C">
        <w:rPr>
          <w:sz w:val="21"/>
          <w:szCs w:val="21"/>
          <w:lang w:val="en-AU"/>
        </w:rPr>
        <w:t>raqi women can own land, work and open</w:t>
      </w:r>
      <w:r w:rsidR="00B94B8A" w:rsidRPr="0017063C">
        <w:rPr>
          <w:sz w:val="21"/>
          <w:szCs w:val="21"/>
          <w:lang w:val="en-AU"/>
        </w:rPr>
        <w:t xml:space="preserve"> a back account </w:t>
      </w:r>
      <w:r w:rsidR="00857317" w:rsidRPr="0017063C">
        <w:rPr>
          <w:sz w:val="21"/>
          <w:szCs w:val="21"/>
          <w:lang w:val="en-AU"/>
        </w:rPr>
        <w:t>without</w:t>
      </w:r>
      <w:r w:rsidR="00B94B8A" w:rsidRPr="0017063C">
        <w:rPr>
          <w:sz w:val="21"/>
          <w:szCs w:val="21"/>
          <w:lang w:val="en-AU"/>
        </w:rPr>
        <w:t xml:space="preserve"> permission from their </w:t>
      </w:r>
      <w:r w:rsidR="00857317" w:rsidRPr="0017063C">
        <w:rPr>
          <w:sz w:val="21"/>
          <w:szCs w:val="21"/>
          <w:lang w:val="en-AU"/>
        </w:rPr>
        <w:t>husbands. There</w:t>
      </w:r>
      <w:r w:rsidR="003141FF" w:rsidRPr="0017063C">
        <w:rPr>
          <w:sz w:val="21"/>
          <w:szCs w:val="21"/>
          <w:lang w:val="en-AU"/>
        </w:rPr>
        <w:t xml:space="preserve"> are gaps notably around personal law, domestic violence</w:t>
      </w:r>
      <w:r w:rsidR="00AB3BC6" w:rsidRPr="0017063C">
        <w:rPr>
          <w:sz w:val="21"/>
          <w:szCs w:val="21"/>
          <w:lang w:val="en-AU"/>
        </w:rPr>
        <w:t xml:space="preserve"> is not illegal, </w:t>
      </w:r>
      <w:r w:rsidR="003141FF" w:rsidRPr="0017063C">
        <w:rPr>
          <w:sz w:val="21"/>
          <w:szCs w:val="21"/>
          <w:lang w:val="en-AU"/>
        </w:rPr>
        <w:t>honour killings</w:t>
      </w:r>
      <w:r w:rsidR="00AB3BC6" w:rsidRPr="0017063C">
        <w:rPr>
          <w:sz w:val="21"/>
          <w:szCs w:val="21"/>
          <w:lang w:val="en-AU"/>
        </w:rPr>
        <w:t>, and freedom of movement</w:t>
      </w:r>
      <w:r w:rsidR="00247469" w:rsidRPr="0017063C">
        <w:rPr>
          <w:sz w:val="21"/>
          <w:szCs w:val="21"/>
          <w:lang w:val="en-AU"/>
        </w:rPr>
        <w:t>, although in 20</w:t>
      </w:r>
      <w:r w:rsidR="00A77E6A" w:rsidRPr="0017063C">
        <w:rPr>
          <w:sz w:val="21"/>
          <w:szCs w:val="21"/>
        </w:rPr>
        <w:t xml:space="preserve">11 </w:t>
      </w:r>
      <w:r w:rsidR="00247469" w:rsidRPr="0017063C">
        <w:rPr>
          <w:sz w:val="21"/>
          <w:szCs w:val="21"/>
        </w:rPr>
        <w:t xml:space="preserve">KRI </w:t>
      </w:r>
      <w:r w:rsidR="00A77E6A" w:rsidRPr="0017063C">
        <w:rPr>
          <w:sz w:val="21"/>
          <w:szCs w:val="21"/>
        </w:rPr>
        <w:t xml:space="preserve">passed </w:t>
      </w:r>
      <w:r w:rsidR="00247469" w:rsidRPr="0017063C">
        <w:rPr>
          <w:sz w:val="21"/>
          <w:szCs w:val="21"/>
        </w:rPr>
        <w:t>a</w:t>
      </w:r>
      <w:r w:rsidR="00A77E6A" w:rsidRPr="0017063C">
        <w:rPr>
          <w:sz w:val="21"/>
          <w:szCs w:val="21"/>
        </w:rPr>
        <w:t xml:space="preserve"> Law on Combating Violence within Family which prohibits vi</w:t>
      </w:r>
      <w:r w:rsidR="00247469" w:rsidRPr="0017063C">
        <w:rPr>
          <w:sz w:val="21"/>
          <w:szCs w:val="21"/>
        </w:rPr>
        <w:t>olence against women and girls (</w:t>
      </w:r>
      <w:r w:rsidR="00A77E6A" w:rsidRPr="0017063C">
        <w:rPr>
          <w:sz w:val="21"/>
          <w:szCs w:val="21"/>
        </w:rPr>
        <w:t>including female genital mutilation, forced and child labour and child marriage)</w:t>
      </w:r>
      <w:r w:rsidR="003141FF" w:rsidRPr="0017063C">
        <w:rPr>
          <w:sz w:val="21"/>
          <w:szCs w:val="21"/>
          <w:lang w:val="en-AU"/>
        </w:rPr>
        <w:t xml:space="preserve">. </w:t>
      </w:r>
      <w:r w:rsidR="00B94B8A" w:rsidRPr="0017063C">
        <w:rPr>
          <w:sz w:val="21"/>
          <w:szCs w:val="21"/>
          <w:lang w:val="en-AU"/>
        </w:rPr>
        <w:t xml:space="preserve"> </w:t>
      </w:r>
      <w:r w:rsidR="003141FF" w:rsidRPr="0017063C">
        <w:rPr>
          <w:sz w:val="21"/>
          <w:szCs w:val="21"/>
          <w:lang w:val="en-AU"/>
        </w:rPr>
        <w:t xml:space="preserve">Iraq is a signatory to the </w:t>
      </w:r>
      <w:r w:rsidR="003141FF" w:rsidRPr="0017063C">
        <w:rPr>
          <w:i/>
          <w:sz w:val="21"/>
          <w:szCs w:val="21"/>
          <w:lang w:val="en-AU"/>
        </w:rPr>
        <w:t>Convention on the Rights of the Child</w:t>
      </w:r>
      <w:r w:rsidR="003141FF" w:rsidRPr="0017063C">
        <w:rPr>
          <w:sz w:val="21"/>
          <w:szCs w:val="21"/>
          <w:lang w:val="en-AU"/>
        </w:rPr>
        <w:t xml:space="preserve"> and the </w:t>
      </w:r>
      <w:r w:rsidR="003141FF" w:rsidRPr="0017063C">
        <w:rPr>
          <w:i/>
          <w:sz w:val="21"/>
          <w:szCs w:val="21"/>
          <w:lang w:val="en-AU"/>
        </w:rPr>
        <w:t>Convention of the Elimination of All Forms of Discrimination Against Women</w:t>
      </w:r>
      <w:r w:rsidR="003141FF" w:rsidRPr="0017063C">
        <w:rPr>
          <w:sz w:val="21"/>
          <w:szCs w:val="21"/>
          <w:lang w:val="en-AU"/>
        </w:rPr>
        <w:t xml:space="preserve">. </w:t>
      </w:r>
    </w:p>
    <w:p w:rsidR="00635A15" w:rsidRPr="0017063C" w:rsidRDefault="00635A15" w:rsidP="000C59AE">
      <w:pPr>
        <w:jc w:val="both"/>
        <w:rPr>
          <w:i/>
          <w:sz w:val="21"/>
          <w:szCs w:val="21"/>
          <w:lang w:val="en-AU"/>
        </w:rPr>
      </w:pPr>
    </w:p>
    <w:p w:rsidR="005D759D" w:rsidRDefault="009535BF" w:rsidP="00AB3BC6">
      <w:pPr>
        <w:spacing w:after="200" w:line="276" w:lineRule="auto"/>
        <w:jc w:val="both"/>
        <w:rPr>
          <w:sz w:val="21"/>
          <w:szCs w:val="21"/>
        </w:rPr>
      </w:pPr>
      <w:r w:rsidRPr="0017063C">
        <w:rPr>
          <w:b/>
          <w:color w:val="E36C0A" w:themeColor="accent6" w:themeShade="BF"/>
          <w:sz w:val="21"/>
          <w:szCs w:val="21"/>
          <w:lang w:val="en-AU"/>
        </w:rPr>
        <w:t>Diversity</w:t>
      </w:r>
      <w:r w:rsidR="003141FF" w:rsidRPr="0017063C">
        <w:rPr>
          <w:i/>
          <w:color w:val="E36C0A" w:themeColor="accent6" w:themeShade="BF"/>
          <w:sz w:val="21"/>
          <w:szCs w:val="21"/>
          <w:lang w:val="en-AU"/>
        </w:rPr>
        <w:t>:</w:t>
      </w:r>
      <w:r w:rsidR="003141FF" w:rsidRPr="0017063C">
        <w:rPr>
          <w:i/>
          <w:color w:val="FF9933"/>
          <w:sz w:val="21"/>
          <w:szCs w:val="21"/>
          <w:lang w:val="en-AU"/>
        </w:rPr>
        <w:t xml:space="preserve"> </w:t>
      </w:r>
      <w:r w:rsidR="000C59AE" w:rsidRPr="0017063C">
        <w:rPr>
          <w:sz w:val="21"/>
          <w:szCs w:val="21"/>
          <w:lang w:val="en-AU"/>
        </w:rPr>
        <w:t xml:space="preserve">Iraq is </w:t>
      </w:r>
      <w:r w:rsidR="00AB3BC6" w:rsidRPr="0017063C">
        <w:rPr>
          <w:sz w:val="21"/>
          <w:szCs w:val="21"/>
          <w:lang w:val="en-AU"/>
        </w:rPr>
        <w:t xml:space="preserve">a </w:t>
      </w:r>
      <w:r w:rsidR="000C59AE" w:rsidRPr="0017063C">
        <w:rPr>
          <w:sz w:val="21"/>
          <w:szCs w:val="21"/>
          <w:lang w:val="en-AU"/>
        </w:rPr>
        <w:t>diverse</w:t>
      </w:r>
      <w:r w:rsidR="00AB3BC6" w:rsidRPr="0017063C">
        <w:rPr>
          <w:sz w:val="21"/>
          <w:szCs w:val="21"/>
          <w:lang w:val="en-AU"/>
        </w:rPr>
        <w:t xml:space="preserve"> country</w:t>
      </w:r>
      <w:r w:rsidR="000C59AE" w:rsidRPr="0017063C">
        <w:rPr>
          <w:sz w:val="21"/>
          <w:szCs w:val="21"/>
          <w:lang w:val="en-AU"/>
        </w:rPr>
        <w:t xml:space="preserve"> with a population comprising different ethnic groups </w:t>
      </w:r>
      <w:r w:rsidR="005D759D" w:rsidRPr="0017063C">
        <w:rPr>
          <w:sz w:val="21"/>
          <w:szCs w:val="21"/>
          <w:lang w:val="en-AU"/>
        </w:rPr>
        <w:t xml:space="preserve">with different faiths </w:t>
      </w:r>
      <w:r w:rsidR="000C59AE" w:rsidRPr="0017063C">
        <w:rPr>
          <w:sz w:val="21"/>
          <w:szCs w:val="21"/>
          <w:lang w:val="en-AU"/>
        </w:rPr>
        <w:t>including: Arabs</w:t>
      </w:r>
      <w:r w:rsidR="001B2BA2" w:rsidRPr="0017063C">
        <w:rPr>
          <w:sz w:val="21"/>
          <w:szCs w:val="21"/>
          <w:lang w:val="en-AU"/>
        </w:rPr>
        <w:t>,</w:t>
      </w:r>
      <w:r w:rsidR="000C59AE" w:rsidRPr="0017063C">
        <w:rPr>
          <w:sz w:val="21"/>
          <w:szCs w:val="21"/>
          <w:lang w:val="en-AU"/>
        </w:rPr>
        <w:t xml:space="preserve"> Kurds, Turkmens, Assyrians, and other smaller groups like the Armenians</w:t>
      </w:r>
      <w:r w:rsidR="00857317" w:rsidRPr="0017063C">
        <w:rPr>
          <w:sz w:val="21"/>
          <w:szCs w:val="21"/>
          <w:lang w:val="en-AU"/>
        </w:rPr>
        <w:t>, Circassians, Persians</w:t>
      </w:r>
      <w:r w:rsidR="005D759D" w:rsidRPr="0017063C">
        <w:rPr>
          <w:sz w:val="21"/>
          <w:szCs w:val="21"/>
          <w:lang w:val="en-AU"/>
        </w:rPr>
        <w:t>, Mandaeans</w:t>
      </w:r>
      <w:r w:rsidR="000C59AE" w:rsidRPr="0017063C">
        <w:rPr>
          <w:sz w:val="21"/>
          <w:szCs w:val="21"/>
          <w:lang w:val="en-AU"/>
        </w:rPr>
        <w:t>,</w:t>
      </w:r>
      <w:r w:rsidR="005D759D" w:rsidRPr="0017063C">
        <w:rPr>
          <w:sz w:val="21"/>
          <w:szCs w:val="21"/>
          <w:lang w:val="en-AU"/>
        </w:rPr>
        <w:t xml:space="preserve"> and</w:t>
      </w:r>
      <w:r w:rsidR="000C59AE" w:rsidRPr="0017063C">
        <w:rPr>
          <w:sz w:val="21"/>
          <w:szCs w:val="21"/>
          <w:lang w:val="en-AU"/>
        </w:rPr>
        <w:t xml:space="preserve"> Afro-Iraq</w:t>
      </w:r>
      <w:r w:rsidR="005D759D" w:rsidRPr="0017063C">
        <w:rPr>
          <w:sz w:val="21"/>
          <w:szCs w:val="21"/>
          <w:lang w:val="en-AU"/>
        </w:rPr>
        <w:t>i</w:t>
      </w:r>
      <w:r w:rsidR="000C59AE" w:rsidRPr="0017063C">
        <w:rPr>
          <w:sz w:val="21"/>
          <w:szCs w:val="21"/>
          <w:lang w:val="en-AU"/>
        </w:rPr>
        <w:t xml:space="preserve">s. </w:t>
      </w:r>
      <w:r w:rsidR="005D759D" w:rsidRPr="0017063C">
        <w:rPr>
          <w:sz w:val="21"/>
          <w:szCs w:val="21"/>
          <w:lang w:val="en-AU"/>
        </w:rPr>
        <w:t xml:space="preserve">Different groups and those in rural or </w:t>
      </w:r>
      <w:r w:rsidR="00857317" w:rsidRPr="0017063C">
        <w:rPr>
          <w:sz w:val="21"/>
          <w:szCs w:val="21"/>
          <w:lang w:val="en-AU"/>
        </w:rPr>
        <w:t>urban</w:t>
      </w:r>
      <w:r w:rsidR="005D759D" w:rsidRPr="0017063C">
        <w:rPr>
          <w:sz w:val="21"/>
          <w:szCs w:val="21"/>
          <w:lang w:val="en-AU"/>
        </w:rPr>
        <w:t xml:space="preserve"> areas may </w:t>
      </w:r>
      <w:r w:rsidR="000C59AE" w:rsidRPr="0017063C">
        <w:rPr>
          <w:sz w:val="21"/>
          <w:szCs w:val="21"/>
          <w:lang w:val="en-AU"/>
        </w:rPr>
        <w:t xml:space="preserve">have different gender norms. </w:t>
      </w:r>
      <w:r w:rsidR="005D759D" w:rsidRPr="0017063C">
        <w:rPr>
          <w:sz w:val="21"/>
          <w:szCs w:val="21"/>
          <w:lang w:val="en-AU"/>
        </w:rPr>
        <w:t>Although Arabic is the national language, other languages are also used in specific regions including Kurdish</w:t>
      </w:r>
      <w:r w:rsidR="001B2BA2" w:rsidRPr="0017063C">
        <w:rPr>
          <w:sz w:val="21"/>
          <w:szCs w:val="21"/>
          <w:lang w:val="en-AU"/>
        </w:rPr>
        <w:t xml:space="preserve"> (multiple dialects, including </w:t>
      </w:r>
      <w:r w:rsidR="001B2BA2" w:rsidRPr="0017063C">
        <w:rPr>
          <w:rFonts w:cs="Arial"/>
          <w:sz w:val="21"/>
          <w:szCs w:val="21"/>
        </w:rPr>
        <w:t xml:space="preserve">Sorani and </w:t>
      </w:r>
      <w:proofErr w:type="spellStart"/>
      <w:r w:rsidR="001B2BA2" w:rsidRPr="0017063C">
        <w:rPr>
          <w:rFonts w:cs="Arial"/>
          <w:sz w:val="21"/>
          <w:szCs w:val="21"/>
        </w:rPr>
        <w:t>Kumanji</w:t>
      </w:r>
      <w:proofErr w:type="spellEnd"/>
      <w:r w:rsidR="001B2BA2" w:rsidRPr="0017063C">
        <w:rPr>
          <w:rFonts w:cs="Arial"/>
          <w:sz w:val="21"/>
          <w:szCs w:val="21"/>
        </w:rPr>
        <w:t>)</w:t>
      </w:r>
      <w:r w:rsidR="005D759D" w:rsidRPr="0017063C">
        <w:rPr>
          <w:sz w:val="21"/>
          <w:szCs w:val="21"/>
          <w:lang w:val="en-AU"/>
        </w:rPr>
        <w:t>, Farsi, Azerbaijani and languages from the Caucasus.</w:t>
      </w:r>
      <w:r w:rsidR="000C59AE" w:rsidRPr="0017063C">
        <w:rPr>
          <w:sz w:val="21"/>
          <w:szCs w:val="21"/>
          <w:lang w:val="en-AU"/>
        </w:rPr>
        <w:t xml:space="preserve"> It is important to take the time to understand the specific gender context for each area.</w:t>
      </w:r>
      <w:r w:rsidR="000C59AE" w:rsidRPr="0017063C">
        <w:rPr>
          <w:sz w:val="21"/>
          <w:szCs w:val="21"/>
        </w:rPr>
        <w:t xml:space="preserve"> </w:t>
      </w:r>
    </w:p>
    <w:p w:rsidR="0017063C" w:rsidRPr="0017063C" w:rsidRDefault="0017063C" w:rsidP="00AB3BC6">
      <w:pPr>
        <w:spacing w:after="200" w:line="276" w:lineRule="auto"/>
        <w:jc w:val="both"/>
        <w:rPr>
          <w:sz w:val="21"/>
          <w:szCs w:val="21"/>
        </w:rPr>
      </w:pPr>
    </w:p>
    <w:sectPr w:rsidR="0017063C" w:rsidRPr="0017063C" w:rsidSect="00243C9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720" w:right="720" w:bottom="720" w:left="720" w:header="0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93" w:rsidRDefault="00243C93" w:rsidP="008C2949">
      <w:r>
        <w:separator/>
      </w:r>
    </w:p>
  </w:endnote>
  <w:endnote w:type="continuationSeparator" w:id="0">
    <w:p w:rsidR="00243C93" w:rsidRDefault="00243C93" w:rsidP="008C2949">
      <w:r>
        <w:continuationSeparator/>
      </w:r>
    </w:p>
  </w:endnote>
  <w:endnote w:id="1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World Populations Prospects (2012) Iraq in 2015 by sex http://esa.un.org/wpp/unpp/p2k0data.asp</w:t>
      </w:r>
    </w:p>
  </w:endnote>
  <w:endnote w:id="2">
    <w:p w:rsidR="00243C93" w:rsidRPr="0017063C" w:rsidRDefault="00243C93" w:rsidP="00303402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Ministry of Planning Iraq (2012) </w:t>
      </w:r>
      <w:hyperlink r:id="rId1" w:history="1">
        <w:r w:rsidRPr="0017063C">
          <w:rPr>
            <w:rStyle w:val="Hyperlink"/>
          </w:rPr>
          <w:t>Iraq-Woman Integrated Social and Health Survey</w:t>
        </w:r>
      </w:hyperlink>
      <w:r w:rsidRPr="0017063C">
        <w:t xml:space="preserve"> (I-WISH) </w:t>
      </w:r>
    </w:p>
  </w:endnote>
  <w:endnote w:id="3">
    <w:p w:rsidR="00243C93" w:rsidRPr="0017063C" w:rsidRDefault="00243C93" w:rsidP="00EE15F8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IOM-Iraq, Special Report Female Headed Households (2012) http://www.jauiraq.org/documents/1864/Woman-Factsheet.pdf</w:t>
      </w:r>
    </w:p>
  </w:endnote>
  <w:endnote w:id="4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Republic of Iraq (2008) </w:t>
      </w:r>
      <w:hyperlink r:id="rId2" w:history="1">
        <w:r w:rsidRPr="0017063C">
          <w:rPr>
            <w:rStyle w:val="Hyperlink"/>
          </w:rPr>
          <w:t>Family Health Survey 2006/2007</w:t>
        </w:r>
      </w:hyperlink>
    </w:p>
  </w:endnote>
  <w:endnote w:id="5">
    <w:p w:rsidR="00477DC0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UNICEF State of the World’s Children 2015 Iraq </w:t>
      </w:r>
      <w:hyperlink r:id="rId3" w:history="1">
        <w:r w:rsidR="00477DC0" w:rsidRPr="0017063C">
          <w:rPr>
            <w:rStyle w:val="Hyperlink"/>
          </w:rPr>
          <w:t>http://www.unicef.org/infobycountry/iraq_statistics.html</w:t>
        </w:r>
      </w:hyperlink>
    </w:p>
  </w:endnote>
  <w:endnote w:id="6">
    <w:p w:rsidR="00243C93" w:rsidRPr="0017063C" w:rsidRDefault="00243C93" w:rsidP="00C60CF9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Huda Ahmed (2010) </w:t>
      </w:r>
      <w:r w:rsidRPr="0017063C">
        <w:rPr>
          <w:i/>
        </w:rPr>
        <w:t>Iraq</w:t>
      </w:r>
      <w:r w:rsidRPr="0017063C">
        <w:t xml:space="preserve"> in Women’s Rights in the Middle East and North Africa: Progress Amid Resistance, ed. </w:t>
      </w:r>
      <w:proofErr w:type="spellStart"/>
      <w:r w:rsidRPr="0017063C">
        <w:t>Sanja</w:t>
      </w:r>
      <w:proofErr w:type="spellEnd"/>
      <w:r w:rsidRPr="0017063C">
        <w:t xml:space="preserve"> Kelly and Julia </w:t>
      </w:r>
      <w:proofErr w:type="spellStart"/>
      <w:r w:rsidRPr="0017063C">
        <w:t>Breslin</w:t>
      </w:r>
      <w:proofErr w:type="spellEnd"/>
      <w:r w:rsidRPr="0017063C">
        <w:t xml:space="preserve"> (New York, NY: Freedom House; Lanham, MD: </w:t>
      </w:r>
      <w:proofErr w:type="spellStart"/>
      <w:r w:rsidRPr="0017063C">
        <w:t>Rowman</w:t>
      </w:r>
      <w:proofErr w:type="spellEnd"/>
      <w:r w:rsidRPr="0017063C">
        <w:t xml:space="preserve"> &amp; Littleﬁeld, 2010)</w:t>
      </w:r>
    </w:p>
  </w:endnote>
  <w:endnote w:id="7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Siobhan </w:t>
      </w:r>
      <w:proofErr w:type="spellStart"/>
      <w:r w:rsidRPr="0017063C">
        <w:t>Foran</w:t>
      </w:r>
      <w:proofErr w:type="spellEnd"/>
      <w:r w:rsidRPr="0017063C">
        <w:t xml:space="preserve"> (2008) </w:t>
      </w:r>
      <w:hyperlink r:id="rId4" w:history="1">
        <w:r w:rsidRPr="0017063C">
          <w:rPr>
            <w:rStyle w:val="Hyperlink"/>
          </w:rPr>
          <w:t>GBV in Iraq: the effects of violence –real and perceived- on the lives of women, girls, men and boys in Iraq</w:t>
        </w:r>
      </w:hyperlink>
      <w:r w:rsidRPr="0017063C">
        <w:t xml:space="preserve"> </w:t>
      </w:r>
    </w:p>
  </w:endnote>
  <w:endnote w:id="8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Ministry of Planning Iraq (2012) </w:t>
      </w:r>
      <w:hyperlink r:id="rId5" w:history="1">
        <w:r w:rsidRPr="0017063C">
          <w:rPr>
            <w:rStyle w:val="Hyperlink"/>
          </w:rPr>
          <w:t>Iraq-Woman Integrated Social and Health Survey</w:t>
        </w:r>
      </w:hyperlink>
      <w:r w:rsidRPr="0017063C">
        <w:t xml:space="preserve"> (I-WISH) </w:t>
      </w:r>
    </w:p>
  </w:endnote>
  <w:endnote w:id="9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Siobhan </w:t>
      </w:r>
      <w:proofErr w:type="spellStart"/>
      <w:r w:rsidRPr="0017063C">
        <w:t>Foran</w:t>
      </w:r>
      <w:proofErr w:type="spellEnd"/>
      <w:r w:rsidRPr="0017063C">
        <w:t xml:space="preserve"> (2008) </w:t>
      </w:r>
      <w:hyperlink r:id="rId6" w:history="1">
        <w:r w:rsidRPr="0017063C">
          <w:rPr>
            <w:rStyle w:val="Hyperlink"/>
          </w:rPr>
          <w:t>GBV in Iraq: the effects of violence –real and perceived- on the lives of women, girls, men and boys in Iraq</w:t>
        </w:r>
      </w:hyperlink>
      <w:r w:rsidRPr="0017063C">
        <w:t xml:space="preserve"> </w:t>
      </w:r>
    </w:p>
  </w:endnote>
  <w:endnote w:id="10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Ministry of Planning Iraq (2012) </w:t>
      </w:r>
      <w:hyperlink r:id="rId7" w:history="1">
        <w:r w:rsidRPr="0017063C">
          <w:rPr>
            <w:rStyle w:val="Hyperlink"/>
          </w:rPr>
          <w:t>Iraq-Woman Integrated Social and Health Survey</w:t>
        </w:r>
      </w:hyperlink>
      <w:r w:rsidRPr="0017063C">
        <w:t xml:space="preserve"> (I-WISH) </w:t>
      </w:r>
    </w:p>
  </w:endnote>
  <w:endnote w:id="11">
    <w:p w:rsidR="00243C93" w:rsidRPr="0017063C" w:rsidRDefault="00243C93">
      <w:pPr>
        <w:pStyle w:val="EndnoteText"/>
        <w:rPr>
          <w:lang w:val="en-GB"/>
        </w:rPr>
      </w:pPr>
      <w:r w:rsidRPr="0017063C">
        <w:rPr>
          <w:rStyle w:val="EndnoteReference"/>
        </w:rPr>
        <w:endnoteRef/>
      </w:r>
      <w:r w:rsidRPr="0017063C">
        <w:t xml:space="preserve"> </w:t>
      </w:r>
      <w:r w:rsidRPr="0017063C">
        <w:rPr>
          <w:lang w:val="en-GB"/>
        </w:rPr>
        <w:t>Ministry of Planning Iraq (2011</w:t>
      </w:r>
      <w:proofErr w:type="gramStart"/>
      <w:r w:rsidRPr="0017063C">
        <w:rPr>
          <w:lang w:val="en-GB"/>
        </w:rPr>
        <w:t>)  http://www.nytimes.com/2011/11/25/world/middleeast/iraqi-widows-numbers-have-grown-but-aid-lags</w:t>
      </w:r>
      <w:proofErr w:type="gramEnd"/>
    </w:p>
  </w:endnote>
  <w:endnote w:id="12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Huda Ahmed (2010) </w:t>
      </w:r>
      <w:r w:rsidRPr="0017063C">
        <w:rPr>
          <w:i/>
        </w:rPr>
        <w:t>Iraq</w:t>
      </w:r>
      <w:r w:rsidRPr="0017063C">
        <w:t xml:space="preserve"> in Women’s Rights in the Middle East and North Africa: Progress Amid Resistance, ed. </w:t>
      </w:r>
      <w:proofErr w:type="spellStart"/>
      <w:r w:rsidRPr="0017063C">
        <w:t>Sanja</w:t>
      </w:r>
      <w:proofErr w:type="spellEnd"/>
      <w:r w:rsidRPr="0017063C">
        <w:t xml:space="preserve"> Kelly and Julia </w:t>
      </w:r>
      <w:proofErr w:type="spellStart"/>
      <w:r w:rsidRPr="0017063C">
        <w:t>Breslin</w:t>
      </w:r>
      <w:proofErr w:type="spellEnd"/>
      <w:r w:rsidRPr="0017063C">
        <w:t xml:space="preserve"> (New York, NY: Freedom House; Lanham, MD: </w:t>
      </w:r>
      <w:proofErr w:type="spellStart"/>
      <w:r w:rsidRPr="0017063C">
        <w:t>Rowman</w:t>
      </w:r>
      <w:proofErr w:type="spellEnd"/>
      <w:r w:rsidRPr="0017063C">
        <w:t xml:space="preserve"> &amp; Littleﬁeld, 2010)</w:t>
      </w:r>
    </w:p>
  </w:endnote>
  <w:endnote w:id="13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USAID Iraq (2010) </w:t>
      </w:r>
      <w:hyperlink r:id="rId8" w:history="1">
        <w:r w:rsidRPr="0017063C">
          <w:rPr>
            <w:rStyle w:val="Hyperlink"/>
          </w:rPr>
          <w:t>Gender Assessment</w:t>
        </w:r>
      </w:hyperlink>
      <w:r w:rsidRPr="0017063C">
        <w:t xml:space="preserve"> </w:t>
      </w:r>
      <w:r w:rsidR="00477DC0" w:rsidRPr="0017063C">
        <w:t xml:space="preserve"> </w:t>
      </w:r>
      <w:hyperlink r:id="rId9" w:history="1">
        <w:r w:rsidR="00477DC0" w:rsidRPr="0017063C">
          <w:rPr>
            <w:rStyle w:val="Hyperlink"/>
          </w:rPr>
          <w:t>http://pdf.usaid.gov/pdf_docs/PNADW085.pdf</w:t>
        </w:r>
      </w:hyperlink>
    </w:p>
  </w:endnote>
  <w:endnote w:id="14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UN Iraq (2013) </w:t>
      </w:r>
      <w:hyperlink r:id="rId10" w:history="1">
        <w:r w:rsidRPr="0017063C">
          <w:rPr>
            <w:rStyle w:val="Hyperlink"/>
          </w:rPr>
          <w:t>Women in Iraq Factsheet</w:t>
        </w:r>
      </w:hyperlink>
      <w:r w:rsidRPr="0017063C">
        <w:t xml:space="preserve"> </w:t>
      </w:r>
    </w:p>
  </w:endnote>
  <w:endnote w:id="15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World Bank (2013) </w:t>
      </w:r>
      <w:hyperlink r:id="rId11" w:history="1">
        <w:r w:rsidRPr="0017063C">
          <w:rPr>
            <w:rStyle w:val="Hyperlink"/>
          </w:rPr>
          <w:t>Opening Doors: Gender Equality and Development in the Middle East</w:t>
        </w:r>
      </w:hyperlink>
      <w:r w:rsidRPr="0017063C">
        <w:t xml:space="preserve"> </w:t>
      </w:r>
    </w:p>
  </w:endnote>
  <w:endnote w:id="16">
    <w:p w:rsidR="00243C93" w:rsidRPr="0017063C" w:rsidRDefault="00243C93">
      <w:pPr>
        <w:pStyle w:val="EndnoteText"/>
      </w:pPr>
      <w:r w:rsidRPr="0017063C">
        <w:rPr>
          <w:rStyle w:val="EndnoteReference"/>
        </w:rPr>
        <w:endnoteRef/>
      </w:r>
      <w:r w:rsidRPr="0017063C">
        <w:t xml:space="preserve"> UNICEF (2012) </w:t>
      </w:r>
      <w:hyperlink r:id="rId12" w:history="1">
        <w:r w:rsidRPr="0017063C">
          <w:rPr>
            <w:rStyle w:val="Hyperlink"/>
          </w:rPr>
          <w:t>Multi-Indicator Cluster Survey Iraq</w:t>
        </w:r>
      </w:hyperlink>
    </w:p>
  </w:endnote>
  <w:endnote w:id="17">
    <w:p w:rsidR="00243C93" w:rsidRPr="0017063C" w:rsidRDefault="00243C93">
      <w:pPr>
        <w:pStyle w:val="EndnoteText"/>
        <w:rPr>
          <w:lang w:val="en-GB"/>
        </w:rPr>
      </w:pPr>
      <w:r w:rsidRPr="0017063C">
        <w:rPr>
          <w:rStyle w:val="EndnoteReference"/>
        </w:rPr>
        <w:endnoteRef/>
      </w:r>
      <w:r w:rsidRPr="0017063C">
        <w:t xml:space="preserve"> Oxfam GB (2010) ‘LANA’ Programme Baseline Report  </w:t>
      </w:r>
    </w:p>
  </w:endnote>
  <w:endnote w:id="18">
    <w:p w:rsidR="00243C93" w:rsidRPr="00477DC0" w:rsidRDefault="00243C93">
      <w:pPr>
        <w:pStyle w:val="EndnoteText"/>
        <w:rPr>
          <w:sz w:val="18"/>
          <w:szCs w:val="18"/>
        </w:rPr>
      </w:pPr>
      <w:r w:rsidRPr="0017063C">
        <w:rPr>
          <w:rStyle w:val="EndnoteReference"/>
        </w:rPr>
        <w:endnoteRef/>
      </w:r>
      <w:r w:rsidRPr="0017063C">
        <w:t xml:space="preserve"> Women for Women (2008) </w:t>
      </w:r>
      <w:hyperlink r:id="rId13" w:history="1">
        <w:r w:rsidRPr="0017063C">
          <w:rPr>
            <w:rStyle w:val="Hyperlink"/>
          </w:rPr>
          <w:t>Stronger Women Stronger Nations Iraq Report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TC Officina Sans Book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93" w:rsidRPr="00BC1A63" w:rsidRDefault="00477DC0" w:rsidP="00BC1A63">
    <w:pPr>
      <w:pStyle w:val="Footer"/>
      <w:ind w:left="-1276"/>
      <w:rPr>
        <w:b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outsideMargin">
                <wp:posOffset>38100</wp:posOffset>
              </wp:positionH>
              <wp:positionV relativeFrom="paragraph">
                <wp:posOffset>-4275455</wp:posOffset>
              </wp:positionV>
              <wp:extent cx="7496175" cy="5180400"/>
              <wp:effectExtent l="0" t="0" r="9525" b="127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6175" cy="5180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4293903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BF057" id="Rectangle 15" o:spid="_x0000_s1026" style="position:absolute;margin-left:3pt;margin-top:-336.65pt;width:590.25pt;height:407.9pt;z-index:251660288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" fillcolor="#f79646 [3209]" stroked="f" strokecolor="#f2f2f2 [3041]" strokeweight="3pt">
              <v:shadow color="#974706 [1609]" opacity=".5" offset="1pt,3pt"/>
              <w10:wrap anchorx="margin"/>
            </v:rect>
          </w:pict>
        </mc:Fallback>
      </mc:AlternateContent>
    </w:r>
    <w:r w:rsidR="00243C93">
      <w:rPr>
        <w:b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93" w:rsidRPr="00B6795E" w:rsidRDefault="00AB3CB4" w:rsidP="006812FE">
    <w:pPr>
      <w:pStyle w:val="Footer"/>
      <w:tabs>
        <w:tab w:val="clear" w:pos="4513"/>
        <w:tab w:val="clear" w:pos="9026"/>
        <w:tab w:val="left" w:pos="1019"/>
      </w:tabs>
      <w:ind w:left="-426"/>
    </w:pPr>
    <w:r>
      <w:rPr>
        <w:noProof/>
        <w:lang w:val="en-GB"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32.8pt;margin-top:3.15pt;width:50.95pt;height:42.75pt;z-index:251662336;mso-wrap-edited:f" wrapcoords="-157 0 -157 21434 21600 21434 21600 0 -157 0">
          <v:imagedata r:id="rId1" o:title=""/>
          <w10:wrap type="tight"/>
        </v:shape>
        <o:OLEObject Type="Embed" ProgID="PBrush" ShapeID="_x0000_s1032" DrawAspect="Content" ObjectID="_1535196591" r:id="rId2"/>
      </w:object>
    </w:r>
    <w:r w:rsidR="00243C93" w:rsidRPr="006812FE">
      <w:rPr>
        <w:noProof/>
        <w:lang w:val="en-AU" w:eastAsia="en-AU"/>
      </w:rPr>
      <w:drawing>
        <wp:inline distT="0" distB="0" distL="0" distR="0">
          <wp:extent cx="656114" cy="604104"/>
          <wp:effectExtent l="19050" t="0" r="0" b="0"/>
          <wp:docPr id="1" name="Picture 11" descr="word templa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 foot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6114" cy="60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C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93" w:rsidRDefault="00243C93" w:rsidP="008C2949">
      <w:r>
        <w:separator/>
      </w:r>
    </w:p>
  </w:footnote>
  <w:footnote w:type="continuationSeparator" w:id="0">
    <w:p w:rsidR="00243C93" w:rsidRDefault="00243C93" w:rsidP="008C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93" w:rsidRPr="002D6D0C" w:rsidRDefault="00243C93" w:rsidP="00BC1A63">
    <w:pPr>
      <w:pStyle w:val="Header"/>
      <w:ind w:left="-567" w:hanging="851"/>
      <w:rPr>
        <w:rFonts w:ascii="Officina Sans ITC TT" w:hAnsi="Officina Sans ITC TT"/>
        <w:sz w:val="52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93" w:rsidRDefault="0008530F" w:rsidP="0059752C">
    <w:pPr>
      <w:pStyle w:val="Header"/>
      <w:ind w:left="-1276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2247900</wp:posOffset>
              </wp:positionV>
              <wp:extent cx="7743825" cy="1619250"/>
              <wp:effectExtent l="0" t="0" r="952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6192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4293903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43C93" w:rsidRPr="001F2A47" w:rsidRDefault="00243C93" w:rsidP="00E71D4E">
                          <w:pPr>
                            <w:ind w:left="1418"/>
                            <w:rPr>
                              <w:rFonts w:ascii="ITC Officina Sans Book" w:hAnsi="ITC Officina Sans Book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59.25pt;margin-top:177pt;width:609.7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" fillcolor="#f79646 [3209]" stroked="f" strokecolor="#f2f2f2 [3041]" strokeweight="3pt">
              <v:shadow color="#974706 [1609]" opacity=".5" offset="1pt,3pt"/>
              <v:textbox>
                <w:txbxContent>
                  <w:p w:rsidR="00243C93" w:rsidRPr="001F2A47" w:rsidRDefault="00243C93" w:rsidP="00E71D4E">
                    <w:pPr>
                      <w:ind w:left="1418"/>
                      <w:rPr>
                        <w:rFonts w:ascii="ITC Officina Sans Book" w:hAnsi="ITC Officina Sans Book"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2140585</wp:posOffset>
              </wp:positionV>
              <wp:extent cx="3108325" cy="120459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204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3C93" w:rsidRDefault="00243C93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:rsidR="00243C93" w:rsidRPr="00AD6472" w:rsidRDefault="00243C93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IRAQ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left:0;text-align:left;margin-left:-.45pt;margin-top:168.55pt;width:244.75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" filled="f" fillcolor="#f79646 [3209]" stroked="f" strokecolor="#f2f2f2 [3041]" strokeweight="3pt">
              <v:textbox>
                <w:txbxContent>
                  <w:p w:rsidR="00243C93" w:rsidRDefault="00243C93">
                    <w:pP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  <w:p w:rsidR="00243C93" w:rsidRPr="00AD6472" w:rsidRDefault="00243C93">
                    <w:pP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  <w:t>IRAQ</w:t>
                    </w:r>
                  </w:p>
                </w:txbxContent>
              </v:textbox>
            </v:shape>
          </w:pict>
        </mc:Fallback>
      </mc:AlternateContent>
    </w:r>
    <w:r w:rsidR="00243C93" w:rsidRPr="0059752C">
      <w:rPr>
        <w:noProof/>
        <w:lang w:val="en-AU" w:eastAsia="en-AU"/>
      </w:rPr>
      <w:drawing>
        <wp:inline distT="0" distB="0" distL="0" distR="0">
          <wp:extent cx="7848600" cy="2254885"/>
          <wp:effectExtent l="0" t="0" r="0" b="0"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0510 CAMBODIA10 IMG_43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225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E79"/>
    <w:multiLevelType w:val="hybridMultilevel"/>
    <w:tmpl w:val="EE38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5B60"/>
    <w:multiLevelType w:val="hybridMultilevel"/>
    <w:tmpl w:val="8DA6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15DF"/>
    <w:multiLevelType w:val="hybridMultilevel"/>
    <w:tmpl w:val="5D1E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13D58"/>
    <w:multiLevelType w:val="hybridMultilevel"/>
    <w:tmpl w:val="4DDC4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42460"/>
    <w:multiLevelType w:val="hybridMultilevel"/>
    <w:tmpl w:val="5232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201"/>
    <w:multiLevelType w:val="hybridMultilevel"/>
    <w:tmpl w:val="E648E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61E7"/>
    <w:multiLevelType w:val="hybridMultilevel"/>
    <w:tmpl w:val="E6500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48FE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459A6"/>
    <w:multiLevelType w:val="hybridMultilevel"/>
    <w:tmpl w:val="EF7E66F0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 fillcolor="none [3209]" stroke="f" strokecolor="none [3041]">
      <v:fill color="none [3209]"/>
      <v:stroke color="none [3041]" weight="3pt" on="f"/>
      <v:shadow type="perspective" color="none [1609]" opacity=".5" offset="1pt,3pt" offset2="-1pt,2pt"/>
      <o:colormru v:ext="edit" colors="#f93"/>
      <o:colormenu v:ext="edit" fillcolor="none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9"/>
    <w:rsid w:val="00015248"/>
    <w:rsid w:val="00025FFA"/>
    <w:rsid w:val="00030DBE"/>
    <w:rsid w:val="00035796"/>
    <w:rsid w:val="00054037"/>
    <w:rsid w:val="00063BD7"/>
    <w:rsid w:val="00070D84"/>
    <w:rsid w:val="0008530F"/>
    <w:rsid w:val="00091CB8"/>
    <w:rsid w:val="00097096"/>
    <w:rsid w:val="000A5CB4"/>
    <w:rsid w:val="000A6E5D"/>
    <w:rsid w:val="000C59AE"/>
    <w:rsid w:val="000D380F"/>
    <w:rsid w:val="000F02BC"/>
    <w:rsid w:val="000F10E1"/>
    <w:rsid w:val="000F2BB8"/>
    <w:rsid w:val="00102561"/>
    <w:rsid w:val="00120B1E"/>
    <w:rsid w:val="00125A69"/>
    <w:rsid w:val="00135D80"/>
    <w:rsid w:val="0014552E"/>
    <w:rsid w:val="0014601C"/>
    <w:rsid w:val="00152A75"/>
    <w:rsid w:val="00154818"/>
    <w:rsid w:val="00165115"/>
    <w:rsid w:val="0017063C"/>
    <w:rsid w:val="0017649A"/>
    <w:rsid w:val="001809A2"/>
    <w:rsid w:val="00191775"/>
    <w:rsid w:val="0019187F"/>
    <w:rsid w:val="00195917"/>
    <w:rsid w:val="001B2BA2"/>
    <w:rsid w:val="001B374D"/>
    <w:rsid w:val="001B46C4"/>
    <w:rsid w:val="001F2A47"/>
    <w:rsid w:val="001F75F6"/>
    <w:rsid w:val="001F7E91"/>
    <w:rsid w:val="00243C93"/>
    <w:rsid w:val="00247469"/>
    <w:rsid w:val="00267092"/>
    <w:rsid w:val="00290EE7"/>
    <w:rsid w:val="002D6D0C"/>
    <w:rsid w:val="002E2806"/>
    <w:rsid w:val="002F7DE3"/>
    <w:rsid w:val="00303402"/>
    <w:rsid w:val="00311F95"/>
    <w:rsid w:val="003141FF"/>
    <w:rsid w:val="00320DCE"/>
    <w:rsid w:val="00332F3D"/>
    <w:rsid w:val="003404F0"/>
    <w:rsid w:val="003502B4"/>
    <w:rsid w:val="003639E5"/>
    <w:rsid w:val="0038457C"/>
    <w:rsid w:val="00384C5C"/>
    <w:rsid w:val="00390650"/>
    <w:rsid w:val="003C540E"/>
    <w:rsid w:val="003C5C5B"/>
    <w:rsid w:val="003D5EDB"/>
    <w:rsid w:val="00425369"/>
    <w:rsid w:val="00444F74"/>
    <w:rsid w:val="0044708E"/>
    <w:rsid w:val="00456802"/>
    <w:rsid w:val="00477DC0"/>
    <w:rsid w:val="00480982"/>
    <w:rsid w:val="00483C15"/>
    <w:rsid w:val="004A3C27"/>
    <w:rsid w:val="004A4D94"/>
    <w:rsid w:val="004A5DA9"/>
    <w:rsid w:val="004C12EC"/>
    <w:rsid w:val="004C1FF9"/>
    <w:rsid w:val="004C44E4"/>
    <w:rsid w:val="004C5743"/>
    <w:rsid w:val="004D3813"/>
    <w:rsid w:val="004E2A55"/>
    <w:rsid w:val="004F3DFB"/>
    <w:rsid w:val="00516B9C"/>
    <w:rsid w:val="00532BCD"/>
    <w:rsid w:val="005334D2"/>
    <w:rsid w:val="00535A04"/>
    <w:rsid w:val="00553742"/>
    <w:rsid w:val="00571627"/>
    <w:rsid w:val="00573D1D"/>
    <w:rsid w:val="0059752C"/>
    <w:rsid w:val="005C743D"/>
    <w:rsid w:val="005D2179"/>
    <w:rsid w:val="005D759D"/>
    <w:rsid w:val="005E17A5"/>
    <w:rsid w:val="005F39C1"/>
    <w:rsid w:val="00616B8D"/>
    <w:rsid w:val="00635601"/>
    <w:rsid w:val="00635A15"/>
    <w:rsid w:val="00665A8E"/>
    <w:rsid w:val="00674BA4"/>
    <w:rsid w:val="006803D9"/>
    <w:rsid w:val="006812FE"/>
    <w:rsid w:val="006B2267"/>
    <w:rsid w:val="006C1728"/>
    <w:rsid w:val="006D246E"/>
    <w:rsid w:val="00732DEF"/>
    <w:rsid w:val="00750729"/>
    <w:rsid w:val="00755BE2"/>
    <w:rsid w:val="00772110"/>
    <w:rsid w:val="007A2B5A"/>
    <w:rsid w:val="00824288"/>
    <w:rsid w:val="00857317"/>
    <w:rsid w:val="00862C1C"/>
    <w:rsid w:val="008B526F"/>
    <w:rsid w:val="008B7669"/>
    <w:rsid w:val="008C2949"/>
    <w:rsid w:val="008D1676"/>
    <w:rsid w:val="00907D46"/>
    <w:rsid w:val="00912815"/>
    <w:rsid w:val="00922B60"/>
    <w:rsid w:val="00932516"/>
    <w:rsid w:val="00934306"/>
    <w:rsid w:val="009535BF"/>
    <w:rsid w:val="009756F9"/>
    <w:rsid w:val="009859DF"/>
    <w:rsid w:val="00996CE2"/>
    <w:rsid w:val="009B7147"/>
    <w:rsid w:val="009C1847"/>
    <w:rsid w:val="009E1451"/>
    <w:rsid w:val="009E54B2"/>
    <w:rsid w:val="009E7ADA"/>
    <w:rsid w:val="009F11F9"/>
    <w:rsid w:val="00A14D2D"/>
    <w:rsid w:val="00A3791B"/>
    <w:rsid w:val="00A45313"/>
    <w:rsid w:val="00A52870"/>
    <w:rsid w:val="00A712D3"/>
    <w:rsid w:val="00A77E6A"/>
    <w:rsid w:val="00A802EC"/>
    <w:rsid w:val="00A83713"/>
    <w:rsid w:val="00AA3D74"/>
    <w:rsid w:val="00AB0B2F"/>
    <w:rsid w:val="00AB3BC6"/>
    <w:rsid w:val="00AB3CB4"/>
    <w:rsid w:val="00AD6472"/>
    <w:rsid w:val="00B1110C"/>
    <w:rsid w:val="00B17F70"/>
    <w:rsid w:val="00B456D8"/>
    <w:rsid w:val="00B6795E"/>
    <w:rsid w:val="00B74BBD"/>
    <w:rsid w:val="00B75B50"/>
    <w:rsid w:val="00B76AD3"/>
    <w:rsid w:val="00B94B8A"/>
    <w:rsid w:val="00BB31BD"/>
    <w:rsid w:val="00BB6FE5"/>
    <w:rsid w:val="00BC1A63"/>
    <w:rsid w:val="00BC2B4C"/>
    <w:rsid w:val="00BC2E2E"/>
    <w:rsid w:val="00BC3F5A"/>
    <w:rsid w:val="00BD36C6"/>
    <w:rsid w:val="00BD7AE0"/>
    <w:rsid w:val="00BE1B69"/>
    <w:rsid w:val="00C03534"/>
    <w:rsid w:val="00C073A7"/>
    <w:rsid w:val="00C15788"/>
    <w:rsid w:val="00C17646"/>
    <w:rsid w:val="00C2297A"/>
    <w:rsid w:val="00C30B82"/>
    <w:rsid w:val="00C33930"/>
    <w:rsid w:val="00C34885"/>
    <w:rsid w:val="00C4645C"/>
    <w:rsid w:val="00C50FB8"/>
    <w:rsid w:val="00C548D1"/>
    <w:rsid w:val="00C60CF9"/>
    <w:rsid w:val="00C70B1C"/>
    <w:rsid w:val="00C80AFA"/>
    <w:rsid w:val="00C95A41"/>
    <w:rsid w:val="00CB7BE7"/>
    <w:rsid w:val="00CC0CBF"/>
    <w:rsid w:val="00D002F5"/>
    <w:rsid w:val="00D0338F"/>
    <w:rsid w:val="00D173DE"/>
    <w:rsid w:val="00D30412"/>
    <w:rsid w:val="00D319FB"/>
    <w:rsid w:val="00D42D2E"/>
    <w:rsid w:val="00D55E08"/>
    <w:rsid w:val="00D75EE7"/>
    <w:rsid w:val="00D81B60"/>
    <w:rsid w:val="00DA07D9"/>
    <w:rsid w:val="00DB4AE4"/>
    <w:rsid w:val="00DC30E0"/>
    <w:rsid w:val="00DC7695"/>
    <w:rsid w:val="00DD0FA3"/>
    <w:rsid w:val="00DE6C3A"/>
    <w:rsid w:val="00DF1BAB"/>
    <w:rsid w:val="00E01BED"/>
    <w:rsid w:val="00E07532"/>
    <w:rsid w:val="00E07D0D"/>
    <w:rsid w:val="00E12CA2"/>
    <w:rsid w:val="00E179BE"/>
    <w:rsid w:val="00E36C5C"/>
    <w:rsid w:val="00E71847"/>
    <w:rsid w:val="00E71D4E"/>
    <w:rsid w:val="00EA0A95"/>
    <w:rsid w:val="00EA101A"/>
    <w:rsid w:val="00ED6D63"/>
    <w:rsid w:val="00EE15F8"/>
    <w:rsid w:val="00EF5F98"/>
    <w:rsid w:val="00F13F7A"/>
    <w:rsid w:val="00F32B6F"/>
    <w:rsid w:val="00F36E88"/>
    <w:rsid w:val="00F41204"/>
    <w:rsid w:val="00F42884"/>
    <w:rsid w:val="00F55449"/>
    <w:rsid w:val="00F600F1"/>
    <w:rsid w:val="00F70AED"/>
    <w:rsid w:val="00F93224"/>
    <w:rsid w:val="00FB1CD9"/>
    <w:rsid w:val="00FB7234"/>
    <w:rsid w:val="00FC7931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none [3209]" stroke="f" strokecolor="none [3041]">
      <v:fill color="none [3209]"/>
      <v:stroke color="none [3041]" weight="3pt" on="f"/>
      <v:shadow type="perspective" color="none [1609]" opacity=".5" offset="1pt,3pt" offset2="-1pt,2pt"/>
      <o:colormru v:ext="edit" colors="#f93"/>
      <o:colormenu v:ext="edit" fillcolor="none" strokecolor="none" shadowcolor="none"/>
    </o:shapedefaults>
    <o:shapelayout v:ext="edit">
      <o:idmap v:ext="edit" data="2"/>
    </o:shapelayout>
  </w:shapeDefaults>
  <w:decimalSymbol w:val="."/>
  <w:listSeparator w:val=","/>
  <w14:docId w14:val="7FED6B30"/>
  <w15:docId w15:val="{84A800A0-3341-4631-9D0D-3305FEE2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5"/>
    <w:pPr>
      <w:spacing w:after="0" w:line="240" w:lineRule="auto"/>
    </w:pPr>
    <w:rPr>
      <w:rFonts w:ascii="Arial" w:eastAsia="Cambria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2BCD"/>
    <w:pPr>
      <w:keepNext/>
      <w:keepLines/>
      <w:spacing w:line="360" w:lineRule="auto"/>
      <w:jc w:val="right"/>
      <w:outlineLvl w:val="0"/>
    </w:pPr>
    <w:rPr>
      <w:rFonts w:ascii="HelveticaNeueLT Std" w:eastAsiaTheme="majorEastAsia" w:hAnsi="HelveticaNeueLT Std" w:cstheme="majorBidi"/>
      <w:b/>
      <w:bCs/>
      <w:color w:val="E36C0A" w:themeColor="accent6" w:themeShade="BF"/>
      <w:sz w:val="40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C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27D6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27D6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A5E6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D19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49"/>
  </w:style>
  <w:style w:type="paragraph" w:styleId="Footer">
    <w:name w:val="footer"/>
    <w:basedOn w:val="Normal"/>
    <w:link w:val="FooterChar"/>
    <w:uiPriority w:val="99"/>
    <w:unhideWhenUsed/>
    <w:rsid w:val="008C2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49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2949"/>
    <w:rPr>
      <w:rFonts w:ascii="Tahoma" w:hAnsi="Tahoma" w:cs="Tahoma"/>
      <w:sz w:val="16"/>
      <w:szCs w:val="16"/>
    </w:rPr>
  </w:style>
  <w:style w:type="paragraph" w:customStyle="1" w:styleId="Heading-OrangeLarger">
    <w:name w:val="Heading - Orange Larger"/>
    <w:basedOn w:val="Normal"/>
    <w:uiPriority w:val="99"/>
    <w:qFormat/>
    <w:rsid w:val="0044708E"/>
    <w:pPr>
      <w:suppressAutoHyphens/>
      <w:autoSpaceDE w:val="0"/>
      <w:autoSpaceDN w:val="0"/>
      <w:adjustRightInd w:val="0"/>
      <w:spacing w:after="227" w:line="480" w:lineRule="atLeast"/>
      <w:jc w:val="both"/>
      <w:textAlignment w:val="center"/>
    </w:pPr>
    <w:rPr>
      <w:rFonts w:ascii="ITC Officina Sans Book" w:hAnsi="ITC Officina Sans Book" w:cs="ITC Officina Sans Book"/>
      <w:b/>
      <w:bCs/>
      <w:color w:val="E36F1E"/>
      <w:sz w:val="36"/>
      <w:szCs w:val="36"/>
    </w:rPr>
  </w:style>
  <w:style w:type="paragraph" w:customStyle="1" w:styleId="ParagraphStyle-3">
    <w:name w:val="Paragraph Style - 3"/>
    <w:basedOn w:val="Normal"/>
    <w:uiPriority w:val="99"/>
    <w:rsid w:val="0044708E"/>
    <w:pPr>
      <w:autoSpaceDE w:val="0"/>
      <w:autoSpaceDN w:val="0"/>
      <w:adjustRightInd w:val="0"/>
      <w:spacing w:line="320" w:lineRule="atLeast"/>
      <w:textAlignment w:val="center"/>
    </w:pPr>
    <w:rPr>
      <w:rFonts w:ascii="ITC Officina Sans Book" w:hAnsi="ITC Officina Sans Book" w:cs="ITC Officina Sans Book"/>
      <w:color w:val="000000"/>
      <w:szCs w:val="20"/>
      <w:lang w:val="en-GB"/>
    </w:rPr>
  </w:style>
  <w:style w:type="paragraph" w:customStyle="1" w:styleId="OrangeIntro">
    <w:name w:val="Orange Intro"/>
    <w:basedOn w:val="ParagraphStyle-3"/>
    <w:uiPriority w:val="99"/>
    <w:rsid w:val="0044708E"/>
    <w:rPr>
      <w:color w:val="E3761D"/>
      <w:sz w:val="24"/>
      <w:szCs w:val="24"/>
    </w:rPr>
  </w:style>
  <w:style w:type="paragraph" w:customStyle="1" w:styleId="Redquote-smallbold">
    <w:name w:val="Red quote - small bold"/>
    <w:basedOn w:val="ParagraphStyle-3"/>
    <w:uiPriority w:val="99"/>
    <w:rsid w:val="0044708E"/>
    <w:rPr>
      <w:b/>
      <w:bCs/>
      <w:color w:val="943634"/>
    </w:rPr>
  </w:style>
  <w:style w:type="paragraph" w:styleId="ListParagraph">
    <w:name w:val="List Paragraph"/>
    <w:basedOn w:val="Normal"/>
    <w:uiPriority w:val="34"/>
    <w:qFormat/>
    <w:rsid w:val="00CC0C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C0CB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0CBF"/>
    <w:rPr>
      <w:rFonts w:ascii="Cambria" w:eastAsia="Cambria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CC0CB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2BCD"/>
    <w:rPr>
      <w:rFonts w:ascii="HelveticaNeueLT Std" w:eastAsiaTheme="majorEastAsia" w:hAnsi="HelveticaNeueLT Std" w:cstheme="majorBidi"/>
      <w:b/>
      <w:bCs/>
      <w:color w:val="E36C0A" w:themeColor="accent6" w:themeShade="BF"/>
      <w:sz w:val="40"/>
      <w:szCs w:val="28"/>
    </w:rPr>
  </w:style>
  <w:style w:type="table" w:styleId="TableGrid">
    <w:name w:val="Table Grid"/>
    <w:basedOn w:val="TableNormal"/>
    <w:uiPriority w:val="59"/>
    <w:rsid w:val="00C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3D"/>
    <w:rPr>
      <w:rFonts w:ascii="Arial" w:eastAsia="Cambria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3D"/>
    <w:rPr>
      <w:rFonts w:ascii="Arial" w:eastAsia="Cambr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0B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F7E91"/>
    <w:pPr>
      <w:spacing w:beforeLines="1" w:afterLines="1"/>
    </w:pPr>
    <w:rPr>
      <w:rFonts w:ascii="Times" w:eastAsiaTheme="minorHAnsi" w:hAnsi="Times"/>
      <w:szCs w:val="20"/>
      <w:lang w:val="en-AU"/>
    </w:rPr>
  </w:style>
  <w:style w:type="character" w:styleId="FollowedHyperlink">
    <w:name w:val="FollowedHyperlink"/>
    <w:basedOn w:val="DefaultParagraphFont"/>
    <w:rsid w:val="00091C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59AE"/>
  </w:style>
  <w:style w:type="paragraph" w:styleId="FootnoteText">
    <w:name w:val="footnote text"/>
    <w:basedOn w:val="Normal"/>
    <w:link w:val="FootnoteTextChar"/>
    <w:rsid w:val="001B2BA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B2BA2"/>
    <w:rPr>
      <w:rFonts w:ascii="Arial" w:eastAsia="Cambria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B2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df.usaid.gov/pdf_docs/PNADW085.pdf" TargetMode="External"/><Relationship Id="rId13" Type="http://schemas.openxmlformats.org/officeDocument/2006/relationships/hyperlink" Target="http://wfwmarketingimages.womenforwomen.org/news-women-for-women/assets/files/IraqReport.03.03.08.pdf" TargetMode="External"/><Relationship Id="rId3" Type="http://schemas.openxmlformats.org/officeDocument/2006/relationships/hyperlink" Target="http://www.unicef.org/infobycountry/iraq_statistics.html" TargetMode="External"/><Relationship Id="rId7" Type="http://schemas.openxmlformats.org/officeDocument/2006/relationships/hyperlink" Target="http://www.irinnews.org/pdf/i-wish_report_english.pdf" TargetMode="External"/><Relationship Id="rId12" Type="http://schemas.openxmlformats.org/officeDocument/2006/relationships/hyperlink" Target="http://www.childinfo.org/files/MICS4_Iraq_PreliminaryReport_Eng.pdf" TargetMode="External"/><Relationship Id="rId2" Type="http://schemas.openxmlformats.org/officeDocument/2006/relationships/hyperlink" Target="http://www.who.int/mediacentre/news/releases/2008/pr02/2008_iraq_family_health_survey_report.pdf" TargetMode="External"/><Relationship Id="rId1" Type="http://schemas.openxmlformats.org/officeDocument/2006/relationships/hyperlink" Target="http://www.irinnews.org/pdf/i-wish_report_english.pdf" TargetMode="External"/><Relationship Id="rId6" Type="http://schemas.openxmlformats.org/officeDocument/2006/relationships/hyperlink" Target="http://www.childtrafficking.com/Docs/ngo_08_gender_iraq_0708.pdf" TargetMode="External"/><Relationship Id="rId11" Type="http://schemas.openxmlformats.org/officeDocument/2006/relationships/hyperlink" Target="https://openknowledge.worldbank.org/bitstream/handle/10986/12552/751810PUB0EPI002060130Opening0doors.pdf?sequence=1" TargetMode="External"/><Relationship Id="rId5" Type="http://schemas.openxmlformats.org/officeDocument/2006/relationships/hyperlink" Target="http://www.irinnews.org/pdf/i-wish_report_english.pdf" TargetMode="External"/><Relationship Id="rId10" Type="http://schemas.openxmlformats.org/officeDocument/2006/relationships/hyperlink" Target="http://www.jauiraq.org/documents/1864/Woman-Factsheet.pdf" TargetMode="External"/><Relationship Id="rId4" Type="http://schemas.openxmlformats.org/officeDocument/2006/relationships/hyperlink" Target="http://www.childtrafficking.com/Docs/ngo_08_gender_iraq_0708.pdf" TargetMode="External"/><Relationship Id="rId9" Type="http://schemas.openxmlformats.org/officeDocument/2006/relationships/hyperlink" Target="http://pdf.usaid.gov/pdf_docs/PNADW085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Ira</b:Tag>
    <b:SourceType>Book</b:SourceType>
    <b:Guid>{B874F4FB-874A-4674-B7EC-8DC774EF2167}</b:Guid>
    <b:Author>
      <b:Author>
        <b:NameList>
          <b:Person>
            <b:Last>Planning</b:Last>
            <b:First>Iraqi</b:First>
            <b:Middle>Ministry of</b:Middle>
          </b:Person>
        </b:NameList>
      </b:Author>
    </b:Author>
    <b:RefOrder>2</b:RefOrder>
  </b:Source>
  <b:Source>
    <b:Tag>cvccv</b:Tag>
    <b:SourceType>Report</b:SourceType>
    <b:Guid>{645490D7-545A-417F-8AEE-BC12F2344A70}</b:Guid>
    <b:Author>
      <b:Author>
        <b:NameList>
          <b:Person>
            <b:Last>cvcvcv</b:Last>
          </b:Person>
        </b:NameList>
      </b:Author>
    </b:Author>
    <b:Title>vcvcv</b:Title>
    <b:Year>vcvcv</b:Year>
    <b:Publisher>cvcv</b:Publisher>
    <b:City>cvcvc</b:City>
    <b:RefOrder>1</b:RefOrder>
  </b:Source>
</b:Sources>
</file>

<file path=customXml/itemProps1.xml><?xml version="1.0" encoding="utf-8"?>
<ds:datastoreItem xmlns:ds="http://schemas.openxmlformats.org/officeDocument/2006/customXml" ds:itemID="{953D19A8-62B2-43A5-A579-7E8BE779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ingridb</dc:creator>
  <cp:lastModifiedBy>Morris, Megan</cp:lastModifiedBy>
  <cp:revision>3</cp:revision>
  <cp:lastPrinted>2016-09-12T04:24:00Z</cp:lastPrinted>
  <dcterms:created xsi:type="dcterms:W3CDTF">2016-09-12T04:41:00Z</dcterms:created>
  <dcterms:modified xsi:type="dcterms:W3CDTF">2016-09-12T04:43:00Z</dcterms:modified>
</cp:coreProperties>
</file>