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8106D" w:rsidRDefault="008F0733" w:rsidP="0048106D">
      <w:pPr>
        <w:pStyle w:val="ListParagraph"/>
        <w:rPr>
          <w:rFonts w:ascii="Arial" w:hAnsi="Arial"/>
          <w:color w:val="FFFFFF" w:themeColor="background1"/>
          <w:sz w:val="20"/>
          <w:szCs w:val="24"/>
          <w:lang w:val="en-GB"/>
        </w:rPr>
      </w:pPr>
      <w:r w:rsidRPr="000F4741">
        <w:rPr>
          <w:rFonts w:ascii="Arial" w:hAnsi="Arial"/>
          <w:color w:val="FFFFFF" w:themeColor="background1"/>
          <w:sz w:val="20"/>
          <w:szCs w:val="24"/>
          <w:lang w:val="en-GB"/>
        </w:rPr>
        <w:t>Population</w:t>
      </w:r>
      <w:r w:rsidR="00684083" w:rsidRPr="000F4741">
        <w:rPr>
          <w:rFonts w:ascii="Arial" w:hAnsi="Arial"/>
          <w:color w:val="FFFFFF" w:themeColor="background1"/>
          <w:sz w:val="20"/>
          <w:szCs w:val="24"/>
          <w:lang w:val="en-GB"/>
        </w:rPr>
        <w:t>:</w:t>
      </w:r>
      <w:r w:rsidR="00DA6F37">
        <w:rPr>
          <w:rFonts w:ascii="Arial" w:hAnsi="Arial"/>
          <w:color w:val="FFFFFF" w:themeColor="background1"/>
          <w:sz w:val="20"/>
          <w:szCs w:val="24"/>
          <w:lang w:val="en-GB"/>
        </w:rPr>
        <w:t xml:space="preserve"> 17.3 million</w:t>
      </w:r>
      <w:r w:rsidR="00684083" w:rsidRPr="000F4741">
        <w:rPr>
          <w:rFonts w:ascii="Arial" w:hAnsi="Arial"/>
          <w:color w:val="FFFFFF" w:themeColor="background1"/>
          <w:sz w:val="20"/>
          <w:szCs w:val="24"/>
          <w:lang w:val="en-GB"/>
        </w:rPr>
        <w:t xml:space="preserve"> </w:t>
      </w:r>
      <w:r w:rsidR="00DA6F37">
        <w:rPr>
          <w:rFonts w:ascii="Arial" w:hAnsi="Arial"/>
          <w:color w:val="FFFFFF" w:themeColor="background1"/>
          <w:sz w:val="20"/>
          <w:szCs w:val="24"/>
          <w:lang w:val="en-GB"/>
        </w:rPr>
        <w:t>(</w:t>
      </w:r>
      <w:r w:rsidR="00684083" w:rsidRPr="000F4741">
        <w:rPr>
          <w:rFonts w:ascii="Arial" w:hAnsi="Arial"/>
          <w:color w:val="FFFFFF" w:themeColor="background1"/>
          <w:sz w:val="20"/>
          <w:szCs w:val="24"/>
          <w:lang w:val="en-GB"/>
        </w:rPr>
        <w:t>49,6% male; 50,</w:t>
      </w:r>
      <w:r w:rsidRPr="000F4741">
        <w:rPr>
          <w:rFonts w:ascii="Arial" w:hAnsi="Arial"/>
          <w:color w:val="FFFFFF" w:themeColor="background1"/>
          <w:sz w:val="20"/>
          <w:szCs w:val="24"/>
          <w:lang w:val="en-GB"/>
        </w:rPr>
        <w:t>4% female</w:t>
      </w:r>
      <w:r w:rsidR="00DA6F37">
        <w:rPr>
          <w:rFonts w:ascii="Arial" w:hAnsi="Arial"/>
          <w:color w:val="FFFFFF" w:themeColor="background1"/>
          <w:sz w:val="20"/>
          <w:szCs w:val="24"/>
          <w:lang w:val="en-GB"/>
        </w:rPr>
        <w:t>)</w:t>
      </w:r>
      <w:r w:rsidR="00DA6F37">
        <w:rPr>
          <w:rStyle w:val="EndnoteReference"/>
          <w:rFonts w:ascii="Arial" w:hAnsi="Arial"/>
          <w:color w:val="FFFFFF" w:themeColor="background1"/>
          <w:sz w:val="20"/>
          <w:szCs w:val="24"/>
          <w:lang w:val="en-GB"/>
        </w:rPr>
        <w:endnoteReference w:id="2"/>
      </w:r>
    </w:p>
    <w:p w:rsidR="008F0733" w:rsidRPr="0048106D" w:rsidRDefault="0048106D" w:rsidP="0048106D">
      <w:pPr>
        <w:pStyle w:val="ListParagraph"/>
        <w:rPr>
          <w:rFonts w:ascii="Arial" w:hAnsi="Arial"/>
          <w:color w:val="FFFFFF" w:themeColor="background1"/>
          <w:sz w:val="20"/>
          <w:szCs w:val="24"/>
          <w:lang w:val="en-GB"/>
        </w:rPr>
      </w:pPr>
      <w:r w:rsidRPr="0048106D">
        <w:rPr>
          <w:rFonts w:ascii="Arial" w:hAnsi="Arial"/>
          <w:color w:val="FFFFFF" w:themeColor="background1"/>
          <w:sz w:val="20"/>
          <w:szCs w:val="24"/>
          <w:lang w:val="en-GB"/>
        </w:rPr>
        <w:t>Age d</w:t>
      </w:r>
      <w:r w:rsidR="008F0733" w:rsidRPr="0048106D">
        <w:rPr>
          <w:rFonts w:ascii="Arial" w:hAnsi="Arial"/>
          <w:color w:val="FFFFFF" w:themeColor="background1"/>
          <w:sz w:val="20"/>
          <w:szCs w:val="24"/>
          <w:lang w:val="en-GB"/>
        </w:rPr>
        <w:t>isaggreg</w:t>
      </w:r>
      <w:r w:rsidR="00684083" w:rsidRPr="0048106D">
        <w:rPr>
          <w:rFonts w:ascii="Arial" w:hAnsi="Arial"/>
          <w:color w:val="FFFFFF" w:themeColor="background1"/>
          <w:sz w:val="20"/>
          <w:szCs w:val="24"/>
          <w:lang w:val="en-GB"/>
        </w:rPr>
        <w:t>ation: &lt;</w:t>
      </w:r>
      <w:r w:rsidR="00DA6F37" w:rsidRPr="0048106D">
        <w:rPr>
          <w:rFonts w:ascii="Arial" w:hAnsi="Arial"/>
          <w:color w:val="FFFFFF" w:themeColor="background1"/>
          <w:sz w:val="20"/>
          <w:szCs w:val="24"/>
          <w:lang w:val="en-GB"/>
        </w:rPr>
        <w:t>1</w:t>
      </w:r>
      <w:r w:rsidR="00684083" w:rsidRPr="0048106D">
        <w:rPr>
          <w:rFonts w:ascii="Arial" w:hAnsi="Arial"/>
          <w:color w:val="FFFFFF" w:themeColor="background1"/>
          <w:sz w:val="20"/>
          <w:szCs w:val="24"/>
          <w:lang w:val="en-GB"/>
        </w:rPr>
        <w:t>5yrs</w:t>
      </w:r>
      <w:r w:rsidR="00C44EA8" w:rsidRPr="0048106D">
        <w:rPr>
          <w:rFonts w:ascii="Arial" w:hAnsi="Arial"/>
          <w:color w:val="FFFFFF" w:themeColor="background1"/>
          <w:sz w:val="20"/>
          <w:szCs w:val="24"/>
          <w:lang w:val="en-GB"/>
        </w:rPr>
        <w:t>: 46.6%</w:t>
      </w:r>
      <w:r w:rsidR="00DA6F37">
        <w:rPr>
          <w:rStyle w:val="EndnoteReference"/>
          <w:rFonts w:ascii="Arial" w:hAnsi="Arial"/>
          <w:color w:val="FFFFFF" w:themeColor="background1"/>
          <w:sz w:val="20"/>
          <w:szCs w:val="24"/>
          <w:lang w:val="en-GB"/>
        </w:rPr>
        <w:endnoteReference w:id="3"/>
      </w:r>
    </w:p>
    <w:p w:rsidR="008F0733" w:rsidRPr="000F4741" w:rsidRDefault="008F0733" w:rsidP="00860F86">
      <w:pPr>
        <w:pStyle w:val="ListParagraph"/>
        <w:rPr>
          <w:rFonts w:ascii="Arial" w:hAnsi="Arial"/>
          <w:color w:val="FFFFFF" w:themeColor="background1"/>
          <w:sz w:val="20"/>
          <w:szCs w:val="24"/>
          <w:lang w:val="en-GB"/>
        </w:rPr>
      </w:pPr>
      <w:r w:rsidRPr="000F4741">
        <w:rPr>
          <w:rFonts w:ascii="Arial" w:hAnsi="Arial"/>
          <w:color w:val="FFFFFF" w:themeColor="background1"/>
          <w:sz w:val="20"/>
          <w:szCs w:val="24"/>
          <w:lang w:val="en-GB"/>
        </w:rPr>
        <w:t>Average household si</w:t>
      </w:r>
      <w:r w:rsidR="00E70306" w:rsidRPr="000F4741">
        <w:rPr>
          <w:rFonts w:ascii="Arial" w:hAnsi="Arial"/>
          <w:color w:val="FFFFFF" w:themeColor="background1"/>
          <w:sz w:val="20"/>
          <w:szCs w:val="24"/>
          <w:lang w:val="en-GB"/>
        </w:rPr>
        <w:t>z</w:t>
      </w:r>
      <w:r w:rsidR="0048106D">
        <w:rPr>
          <w:rFonts w:ascii="Arial" w:hAnsi="Arial"/>
          <w:color w:val="FFFFFF" w:themeColor="background1"/>
          <w:sz w:val="20"/>
          <w:szCs w:val="24"/>
          <w:lang w:val="en-GB"/>
        </w:rPr>
        <w:t>e: 9</w:t>
      </w:r>
      <w:r w:rsidR="00C44EA8">
        <w:rPr>
          <w:rFonts w:ascii="Arial" w:hAnsi="Arial"/>
          <w:color w:val="FFFFFF" w:themeColor="background1"/>
          <w:sz w:val="20"/>
          <w:szCs w:val="24"/>
          <w:lang w:val="en-GB"/>
        </w:rPr>
        <w:t xml:space="preserve"> </w:t>
      </w:r>
      <w:r w:rsidR="0072434E">
        <w:rPr>
          <w:rFonts w:ascii="Arial" w:hAnsi="Arial"/>
          <w:color w:val="FFFFFF" w:themeColor="background1"/>
          <w:sz w:val="20"/>
          <w:szCs w:val="24"/>
          <w:lang w:val="en-GB"/>
        </w:rPr>
        <w:t>people</w:t>
      </w:r>
      <w:r w:rsidR="0048106D">
        <w:rPr>
          <w:rFonts w:ascii="Arial" w:hAnsi="Arial"/>
          <w:color w:val="FFFFFF" w:themeColor="background1"/>
          <w:sz w:val="20"/>
          <w:szCs w:val="24"/>
          <w:lang w:val="en-GB"/>
        </w:rPr>
        <w:t>/HH</w:t>
      </w:r>
      <w:r w:rsidR="0072434E">
        <w:rPr>
          <w:rStyle w:val="EndnoteReference"/>
          <w:rFonts w:ascii="Arial" w:hAnsi="Arial"/>
          <w:color w:val="FFFFFF" w:themeColor="background1"/>
          <w:sz w:val="20"/>
          <w:szCs w:val="24"/>
          <w:lang w:val="en-GB"/>
        </w:rPr>
        <w:endnoteReference w:id="4"/>
      </w:r>
    </w:p>
    <w:p w:rsidR="008F0733" w:rsidRPr="000F4741" w:rsidRDefault="008F0733" w:rsidP="00860F86">
      <w:pPr>
        <w:pStyle w:val="ListParagraph"/>
        <w:rPr>
          <w:rFonts w:ascii="Arial" w:hAnsi="Arial"/>
          <w:color w:val="FFFFFF" w:themeColor="background1"/>
          <w:sz w:val="20"/>
          <w:szCs w:val="24"/>
          <w:lang w:val="en-GB"/>
        </w:rPr>
      </w:pPr>
      <w:r w:rsidRPr="000F4741">
        <w:rPr>
          <w:rFonts w:ascii="Arial" w:hAnsi="Arial"/>
          <w:color w:val="FFFFFF" w:themeColor="background1"/>
          <w:sz w:val="20"/>
          <w:szCs w:val="24"/>
          <w:lang w:val="en-GB"/>
        </w:rPr>
        <w:t xml:space="preserve">Female headed households: </w:t>
      </w:r>
      <w:r w:rsidR="003014C8">
        <w:rPr>
          <w:rFonts w:ascii="Arial" w:hAnsi="Arial"/>
          <w:color w:val="FFFFFF" w:themeColor="background1"/>
          <w:sz w:val="20"/>
          <w:szCs w:val="24"/>
          <w:lang w:val="en-GB"/>
        </w:rPr>
        <w:t>10</w:t>
      </w:r>
      <w:r w:rsidRPr="000F4741">
        <w:rPr>
          <w:rFonts w:ascii="Arial" w:hAnsi="Arial"/>
          <w:color w:val="FFFFFF" w:themeColor="background1"/>
          <w:sz w:val="20"/>
          <w:szCs w:val="24"/>
          <w:lang w:val="en-GB"/>
        </w:rPr>
        <w:t>%</w:t>
      </w:r>
      <w:r w:rsidR="0072434E">
        <w:rPr>
          <w:rStyle w:val="EndnoteReference"/>
          <w:rFonts w:ascii="Arial" w:hAnsi="Arial"/>
          <w:color w:val="FFFFFF" w:themeColor="background1"/>
          <w:sz w:val="20"/>
          <w:szCs w:val="24"/>
          <w:lang w:val="en-GB"/>
        </w:rPr>
        <w:endnoteReference w:id="5"/>
      </w:r>
    </w:p>
    <w:p w:rsidR="008F0733" w:rsidRPr="00B8220D" w:rsidRDefault="00AA3CA5" w:rsidP="00860F86">
      <w:pPr>
        <w:pStyle w:val="ListParagraph"/>
        <w:rPr>
          <w:rFonts w:ascii="Arial" w:hAnsi="Arial"/>
          <w:color w:val="FFFFFF" w:themeColor="background1"/>
          <w:sz w:val="20"/>
          <w:szCs w:val="24"/>
          <w:lang w:val="en-GB"/>
        </w:rPr>
      </w:pPr>
      <w:r w:rsidRPr="00B8220D">
        <w:rPr>
          <w:rFonts w:ascii="Arial" w:hAnsi="Arial"/>
          <w:color w:val="FFFFFF" w:themeColor="background1"/>
          <w:sz w:val="20"/>
          <w:szCs w:val="24"/>
          <w:lang w:val="en-GB"/>
        </w:rPr>
        <w:t>Literacy Rates</w:t>
      </w:r>
      <w:r w:rsidR="00B8220D" w:rsidRPr="00B8220D">
        <w:rPr>
          <w:rFonts w:ascii="Arial" w:hAnsi="Arial"/>
          <w:color w:val="FFFFFF" w:themeColor="background1"/>
          <w:sz w:val="20"/>
          <w:szCs w:val="24"/>
          <w:lang w:val="en-GB"/>
        </w:rPr>
        <w:t>: &gt;15</w:t>
      </w:r>
      <w:r w:rsidR="008F0733" w:rsidRPr="00B8220D">
        <w:rPr>
          <w:rFonts w:ascii="Arial" w:hAnsi="Arial"/>
          <w:color w:val="FFFFFF" w:themeColor="background1"/>
          <w:sz w:val="20"/>
          <w:szCs w:val="24"/>
          <w:lang w:val="en-GB"/>
        </w:rPr>
        <w:t>yrs:</w:t>
      </w:r>
      <w:r w:rsidR="00B8220D" w:rsidRPr="00B8220D">
        <w:rPr>
          <w:rFonts w:ascii="Arial" w:hAnsi="Arial"/>
          <w:color w:val="FFFFFF" w:themeColor="background1"/>
          <w:sz w:val="20"/>
          <w:szCs w:val="24"/>
          <w:lang w:val="en-GB"/>
        </w:rPr>
        <w:t xml:space="preserve"> 31%</w:t>
      </w:r>
      <w:r w:rsidR="00B8220D" w:rsidRPr="00494AE9">
        <w:rPr>
          <w:rStyle w:val="EndnoteReference"/>
          <w:rFonts w:ascii="Arial" w:hAnsi="Arial"/>
          <w:color w:val="FFFFFF" w:themeColor="background1"/>
          <w:sz w:val="20"/>
          <w:szCs w:val="24"/>
          <w:lang w:val="en-GB"/>
        </w:rPr>
        <w:endnoteReference w:id="6"/>
      </w:r>
    </w:p>
    <w:p w:rsidR="008F0733" w:rsidRPr="000F4741" w:rsidRDefault="0048106D" w:rsidP="00860F86">
      <w:pPr>
        <w:pStyle w:val="ListParagraph"/>
        <w:rPr>
          <w:rFonts w:ascii="Arial" w:hAnsi="Arial"/>
          <w:color w:val="FFFFFF" w:themeColor="background1"/>
          <w:sz w:val="20"/>
          <w:szCs w:val="24"/>
          <w:lang w:val="en-GB"/>
        </w:rPr>
      </w:pPr>
      <w:r>
        <w:rPr>
          <w:rFonts w:ascii="Arial" w:hAnsi="Arial"/>
          <w:color w:val="FFFFFF" w:themeColor="background1"/>
          <w:sz w:val="20"/>
          <w:szCs w:val="24"/>
          <w:lang w:val="en-GB"/>
        </w:rPr>
        <w:t>Infant mortality r</w:t>
      </w:r>
      <w:r w:rsidR="0072434E">
        <w:rPr>
          <w:rFonts w:ascii="Arial" w:hAnsi="Arial"/>
          <w:color w:val="FFFFFF" w:themeColor="background1"/>
          <w:sz w:val="20"/>
          <w:szCs w:val="24"/>
          <w:lang w:val="en-GB"/>
        </w:rPr>
        <w:t>ates: 74.5</w:t>
      </w:r>
      <w:r w:rsidR="008F0733" w:rsidRPr="000F4741">
        <w:rPr>
          <w:rFonts w:ascii="Arial" w:hAnsi="Arial"/>
          <w:color w:val="FFFFFF" w:themeColor="background1"/>
          <w:sz w:val="20"/>
          <w:szCs w:val="24"/>
          <w:lang w:val="en-GB"/>
        </w:rPr>
        <w:t xml:space="preserve"> per 1000 live births</w:t>
      </w:r>
      <w:r w:rsidR="0072434E" w:rsidRPr="00494AE9">
        <w:rPr>
          <w:rStyle w:val="EndnoteReference"/>
          <w:rFonts w:ascii="Arial" w:hAnsi="Arial"/>
          <w:color w:val="FFFFFF" w:themeColor="background1"/>
          <w:sz w:val="20"/>
          <w:szCs w:val="24"/>
          <w:lang w:val="en-GB"/>
        </w:rPr>
        <w:endnoteReference w:id="7"/>
      </w:r>
    </w:p>
    <w:p w:rsidR="00DE59D7" w:rsidRDefault="008F0733" w:rsidP="00873AEB">
      <w:pPr>
        <w:pStyle w:val="ListParagraph"/>
        <w:rPr>
          <w:rFonts w:ascii="Arial" w:hAnsi="Arial"/>
          <w:color w:val="FFFFFF" w:themeColor="background1"/>
          <w:sz w:val="20"/>
          <w:szCs w:val="24"/>
          <w:lang w:val="en-GB"/>
        </w:rPr>
      </w:pPr>
      <w:r w:rsidRPr="00DD6FCC">
        <w:rPr>
          <w:rFonts w:ascii="Arial" w:hAnsi="Arial"/>
          <w:color w:val="FFFFFF" w:themeColor="background1"/>
          <w:sz w:val="20"/>
          <w:szCs w:val="24"/>
          <w:lang w:val="en-GB"/>
        </w:rPr>
        <w:t xml:space="preserve">Rate of Domestic Violence: </w:t>
      </w:r>
      <w:r w:rsidR="00DD6FCC" w:rsidRPr="00494AE9">
        <w:rPr>
          <w:rFonts w:ascii="Arial" w:hAnsi="Arial"/>
          <w:color w:val="FFFFFF" w:themeColor="background1"/>
          <w:sz w:val="20"/>
          <w:szCs w:val="24"/>
          <w:lang w:val="en-GB"/>
        </w:rPr>
        <w:t>38% of women &gt; 15 years experienced physical violence</w:t>
      </w:r>
      <w:r w:rsidR="00714C11">
        <w:rPr>
          <w:rFonts w:ascii="Arial" w:hAnsi="Arial"/>
          <w:color w:val="FFFFFF" w:themeColor="background1"/>
          <w:sz w:val="20"/>
          <w:szCs w:val="24"/>
          <w:lang w:val="en-GB"/>
        </w:rPr>
        <w:t xml:space="preserve"> and</w:t>
      </w:r>
      <w:r w:rsidR="00DD6FCC" w:rsidRPr="00494AE9">
        <w:rPr>
          <w:rFonts w:ascii="Arial" w:hAnsi="Arial"/>
          <w:color w:val="FFFFFF" w:themeColor="background1"/>
          <w:sz w:val="20"/>
          <w:szCs w:val="24"/>
          <w:lang w:val="en-GB"/>
        </w:rPr>
        <w:t xml:space="preserve"> more than 10% report sexual violence; 44</w:t>
      </w:r>
      <w:r w:rsidRPr="00494AE9">
        <w:rPr>
          <w:rFonts w:ascii="Arial" w:hAnsi="Arial"/>
          <w:color w:val="FFFFFF" w:themeColor="background1"/>
          <w:sz w:val="20"/>
          <w:szCs w:val="24"/>
          <w:lang w:val="en-GB"/>
        </w:rPr>
        <w:t xml:space="preserve">% </w:t>
      </w:r>
      <w:r w:rsidR="00E70306" w:rsidRPr="00494AE9">
        <w:rPr>
          <w:rFonts w:ascii="Arial" w:hAnsi="Arial"/>
          <w:color w:val="FFFFFF" w:themeColor="background1"/>
          <w:sz w:val="20"/>
          <w:szCs w:val="24"/>
          <w:lang w:val="en-GB"/>
        </w:rPr>
        <w:t xml:space="preserve">of </w:t>
      </w:r>
      <w:r w:rsidR="00DD6FCC" w:rsidRPr="00494AE9">
        <w:rPr>
          <w:rFonts w:ascii="Arial" w:hAnsi="Arial"/>
          <w:color w:val="FFFFFF" w:themeColor="background1"/>
          <w:sz w:val="20"/>
          <w:szCs w:val="24"/>
          <w:lang w:val="en-GB"/>
        </w:rPr>
        <w:t>women in relationships</w:t>
      </w:r>
      <w:r w:rsidR="00714C11">
        <w:rPr>
          <w:rFonts w:ascii="Arial" w:hAnsi="Arial"/>
          <w:color w:val="FFFFFF" w:themeColor="background1"/>
          <w:sz w:val="20"/>
          <w:szCs w:val="24"/>
          <w:lang w:val="en-GB"/>
        </w:rPr>
        <w:t xml:space="preserve"> experienced violence</w:t>
      </w:r>
      <w:r w:rsidR="00DD6FCC" w:rsidRPr="00494AE9">
        <w:rPr>
          <w:rFonts w:ascii="Arial" w:hAnsi="Arial"/>
          <w:color w:val="FFFFFF" w:themeColor="background1"/>
          <w:sz w:val="20"/>
          <w:szCs w:val="24"/>
          <w:lang w:val="en-GB"/>
        </w:rPr>
        <w:t xml:space="preserve"> (physical, sexual or emotional)</w:t>
      </w:r>
      <w:r w:rsidR="00DD6FCC" w:rsidRPr="00494AE9">
        <w:rPr>
          <w:rStyle w:val="EndnoteReference"/>
          <w:rFonts w:ascii="Arial" w:hAnsi="Arial"/>
          <w:sz w:val="20"/>
          <w:szCs w:val="24"/>
          <w:lang w:val="en-GB"/>
        </w:rPr>
        <w:endnoteReference w:id="8"/>
      </w:r>
    </w:p>
    <w:p w:rsidR="00282024" w:rsidRPr="00282024" w:rsidRDefault="00282024" w:rsidP="00282024">
      <w:pPr>
        <w:pStyle w:val="ListParagraph"/>
        <w:numPr>
          <w:ilvl w:val="0"/>
          <w:numId w:val="0"/>
        </w:numPr>
        <w:ind w:left="4536"/>
        <w:rPr>
          <w:rFonts w:ascii="Arial" w:hAnsi="Arial"/>
          <w:color w:val="FFFFFF" w:themeColor="background1"/>
          <w:sz w:val="18"/>
          <w:szCs w:val="24"/>
          <w:lang w:val="en-GB"/>
        </w:rPr>
      </w:pPr>
    </w:p>
    <w:p w:rsidR="00DA6F37" w:rsidRPr="00DA6F37" w:rsidRDefault="00DA6F37" w:rsidP="00DA6F37">
      <w:pPr>
        <w:jc w:val="both"/>
        <w:rPr>
          <w:rFonts w:ascii="HelveticaNeueLT Std" w:eastAsiaTheme="majorEastAsia" w:hAnsi="HelveticaNeueLT Std" w:cstheme="majorBidi"/>
          <w:b/>
          <w:bCs/>
          <w:color w:val="E36C0A" w:themeColor="accent6" w:themeShade="BF"/>
          <w:sz w:val="40"/>
          <w:szCs w:val="28"/>
          <w:lang w:val="en-GB"/>
        </w:rPr>
      </w:pPr>
      <w:r w:rsidRPr="00DA6F37">
        <w:rPr>
          <w:rFonts w:ascii="HelveticaNeueLT Std" w:eastAsiaTheme="majorEastAsia" w:hAnsi="HelveticaNeueLT Std" w:cstheme="majorBidi"/>
          <w:b/>
          <w:bCs/>
          <w:color w:val="E36C0A" w:themeColor="accent6" w:themeShade="BF"/>
          <w:sz w:val="40"/>
          <w:szCs w:val="28"/>
          <w:lang w:val="en-GB"/>
        </w:rPr>
        <w:t>Gender in Brief</w:t>
      </w:r>
    </w:p>
    <w:p w:rsidR="00A10C2D" w:rsidRPr="00524EFB" w:rsidRDefault="003523D7" w:rsidP="00FC15DB">
      <w:pPr>
        <w:jc w:val="both"/>
        <w:rPr>
          <w:rFonts w:ascii="Arial" w:eastAsiaTheme="minorHAnsi" w:hAnsi="Arial" w:cs="Arial"/>
          <w:sz w:val="20"/>
          <w:szCs w:val="20"/>
          <w:lang w:val="en-GB" w:bidi="lo-LA"/>
        </w:rPr>
      </w:pPr>
      <w:r>
        <w:rPr>
          <w:rFonts w:ascii="Arial" w:eastAsiaTheme="minorHAnsi" w:hAnsi="Arial" w:cs="Arial"/>
          <w:sz w:val="20"/>
          <w:szCs w:val="20"/>
          <w:lang w:val="en-GB" w:bidi="lo-LA"/>
        </w:rPr>
        <w:t>75</w:t>
      </w:r>
      <w:r w:rsidR="00DE59D7">
        <w:rPr>
          <w:rFonts w:ascii="Arial" w:eastAsiaTheme="minorHAnsi" w:hAnsi="Arial" w:cs="Arial"/>
          <w:sz w:val="20"/>
          <w:szCs w:val="20"/>
          <w:lang w:val="en-GB" w:bidi="lo-LA"/>
        </w:rPr>
        <w:t>.5</w:t>
      </w:r>
      <w:r w:rsidR="008F0733" w:rsidRPr="00DA6F37">
        <w:rPr>
          <w:rFonts w:ascii="Arial" w:eastAsiaTheme="minorHAnsi" w:hAnsi="Arial" w:cs="Arial"/>
          <w:sz w:val="20"/>
          <w:szCs w:val="20"/>
          <w:lang w:val="en-GB" w:bidi="lo-LA"/>
        </w:rPr>
        <w:t xml:space="preserve">% of the </w:t>
      </w:r>
      <w:r w:rsidR="00714C11">
        <w:rPr>
          <w:rFonts w:ascii="Arial" w:eastAsiaTheme="minorHAnsi" w:hAnsi="Arial" w:cs="Arial"/>
          <w:sz w:val="20"/>
          <w:szCs w:val="20"/>
          <w:lang w:val="en-GB" w:bidi="lo-LA"/>
        </w:rPr>
        <w:t>inhabitants</w:t>
      </w:r>
      <w:r>
        <w:rPr>
          <w:rFonts w:ascii="Arial" w:eastAsiaTheme="minorHAnsi" w:hAnsi="Arial" w:cs="Arial"/>
          <w:sz w:val="20"/>
          <w:szCs w:val="20"/>
          <w:lang w:val="en-GB" w:bidi="lo-LA"/>
        </w:rPr>
        <w:t xml:space="preserve"> in Mali</w:t>
      </w:r>
      <w:r w:rsidR="00714C11">
        <w:rPr>
          <w:rFonts w:ascii="Arial" w:eastAsiaTheme="minorHAnsi" w:hAnsi="Arial" w:cs="Arial"/>
          <w:sz w:val="20"/>
          <w:szCs w:val="20"/>
          <w:lang w:val="en-GB" w:bidi="lo-LA"/>
        </w:rPr>
        <w:t xml:space="preserve"> live</w:t>
      </w:r>
      <w:r w:rsidR="00DE59D7">
        <w:rPr>
          <w:rFonts w:ascii="Arial" w:eastAsiaTheme="minorHAnsi" w:hAnsi="Arial" w:cs="Arial"/>
          <w:sz w:val="20"/>
          <w:szCs w:val="20"/>
          <w:lang w:val="en-GB" w:bidi="lo-LA"/>
        </w:rPr>
        <w:t xml:space="preserve"> in rural areas and </w:t>
      </w:r>
      <w:r w:rsidR="00714C11">
        <w:rPr>
          <w:rFonts w:ascii="Arial" w:eastAsiaTheme="minorHAnsi" w:hAnsi="Arial" w:cs="Arial"/>
          <w:sz w:val="20"/>
          <w:szCs w:val="20"/>
          <w:lang w:val="en-GB" w:bidi="lo-LA"/>
        </w:rPr>
        <w:t>almost half of the Malian population is</w:t>
      </w:r>
      <w:r w:rsidR="00DE59D7">
        <w:rPr>
          <w:rFonts w:ascii="Arial" w:eastAsiaTheme="minorHAnsi" w:hAnsi="Arial" w:cs="Arial"/>
          <w:sz w:val="20"/>
          <w:szCs w:val="20"/>
          <w:lang w:val="en-GB" w:bidi="lo-LA"/>
        </w:rPr>
        <w:t xml:space="preserve"> under 15 years old</w:t>
      </w:r>
      <w:r>
        <w:rPr>
          <w:rStyle w:val="EndnoteReference"/>
          <w:rFonts w:ascii="Arial" w:eastAsiaTheme="minorHAnsi" w:hAnsi="Arial" w:cs="Arial"/>
          <w:sz w:val="20"/>
          <w:szCs w:val="20"/>
          <w:lang w:val="en-GB" w:bidi="lo-LA"/>
        </w:rPr>
        <w:endnoteReference w:id="9"/>
      </w:r>
      <w:r w:rsidR="00DE59D7">
        <w:rPr>
          <w:rFonts w:ascii="Arial" w:eastAsiaTheme="minorHAnsi" w:hAnsi="Arial" w:cs="Arial"/>
          <w:sz w:val="20"/>
          <w:szCs w:val="20"/>
          <w:lang w:val="en-GB" w:bidi="lo-LA"/>
        </w:rPr>
        <w:t xml:space="preserve">. </w:t>
      </w:r>
      <w:r w:rsidR="008F0733" w:rsidRPr="00DA6F37">
        <w:rPr>
          <w:rFonts w:ascii="Arial" w:eastAsiaTheme="minorHAnsi" w:hAnsi="Arial" w:cs="Arial"/>
          <w:sz w:val="20"/>
          <w:szCs w:val="20"/>
          <w:lang w:val="en-GB" w:bidi="lo-LA"/>
        </w:rPr>
        <w:t xml:space="preserve">Poverty </w:t>
      </w:r>
      <w:r>
        <w:rPr>
          <w:rFonts w:ascii="Arial" w:eastAsiaTheme="minorHAnsi" w:hAnsi="Arial" w:cs="Arial"/>
          <w:sz w:val="20"/>
          <w:szCs w:val="20"/>
          <w:lang w:val="en-GB" w:bidi="lo-LA"/>
        </w:rPr>
        <w:t>affects</w:t>
      </w:r>
      <w:r w:rsidR="008F0733" w:rsidRPr="00DA6F37">
        <w:rPr>
          <w:rFonts w:ascii="Arial" w:eastAsiaTheme="minorHAnsi" w:hAnsi="Arial" w:cs="Arial"/>
          <w:sz w:val="20"/>
          <w:szCs w:val="20"/>
          <w:lang w:val="en-GB" w:bidi="lo-LA"/>
        </w:rPr>
        <w:t xml:space="preserve"> almost ha</w:t>
      </w:r>
      <w:r>
        <w:rPr>
          <w:rFonts w:ascii="Arial" w:eastAsiaTheme="minorHAnsi" w:hAnsi="Arial" w:cs="Arial"/>
          <w:sz w:val="20"/>
          <w:szCs w:val="20"/>
          <w:lang w:val="en-GB" w:bidi="lo-LA"/>
        </w:rPr>
        <w:t>lf of the population (</w:t>
      </w:r>
      <w:r w:rsidR="008F0733" w:rsidRPr="00DA6F37">
        <w:rPr>
          <w:rFonts w:ascii="Arial" w:eastAsiaTheme="minorHAnsi" w:hAnsi="Arial" w:cs="Arial"/>
          <w:sz w:val="20"/>
          <w:szCs w:val="20"/>
          <w:lang w:val="en-GB" w:bidi="lo-LA"/>
        </w:rPr>
        <w:t>57.6% of the rural population</w:t>
      </w:r>
      <w:r>
        <w:rPr>
          <w:rFonts w:ascii="Arial" w:eastAsiaTheme="minorHAnsi" w:hAnsi="Arial" w:cs="Arial"/>
          <w:sz w:val="20"/>
          <w:szCs w:val="20"/>
          <w:lang w:val="en-GB" w:bidi="lo-LA"/>
        </w:rPr>
        <w:t>)</w:t>
      </w:r>
      <w:r w:rsidR="008F0733" w:rsidRPr="00DA6F37">
        <w:rPr>
          <w:rFonts w:ascii="Arial" w:eastAsiaTheme="minorHAnsi" w:hAnsi="Arial" w:cs="Arial"/>
          <w:sz w:val="20"/>
          <w:szCs w:val="20"/>
          <w:lang w:val="en-GB" w:bidi="lo-LA"/>
        </w:rPr>
        <w:t xml:space="preserve"> with</w:t>
      </w:r>
      <w:r w:rsidR="00FC15DB">
        <w:rPr>
          <w:rFonts w:ascii="Arial" w:eastAsiaTheme="minorHAnsi" w:hAnsi="Arial" w:cs="Arial"/>
          <w:sz w:val="20"/>
          <w:szCs w:val="20"/>
          <w:lang w:val="en-GB" w:bidi="lo-LA"/>
        </w:rPr>
        <w:t xml:space="preserve"> women being the most affected. </w:t>
      </w:r>
      <w:r w:rsidR="00E02111" w:rsidRPr="00DA6F37">
        <w:rPr>
          <w:rFonts w:ascii="Arial" w:eastAsiaTheme="minorHAnsi" w:hAnsi="Arial" w:cs="Arial"/>
          <w:sz w:val="20"/>
          <w:szCs w:val="20"/>
          <w:lang w:val="en-GB" w:bidi="lo-LA"/>
        </w:rPr>
        <w:t>Despi</w:t>
      </w:r>
      <w:r w:rsidR="00FC15DB">
        <w:rPr>
          <w:rFonts w:ascii="Arial" w:eastAsiaTheme="minorHAnsi" w:hAnsi="Arial" w:cs="Arial"/>
          <w:sz w:val="20"/>
          <w:szCs w:val="20"/>
          <w:lang w:val="en-GB" w:bidi="lo-LA"/>
        </w:rPr>
        <w:t>te the commitments made by the G</w:t>
      </w:r>
      <w:r w:rsidR="00E02111" w:rsidRPr="00DA6F37">
        <w:rPr>
          <w:rFonts w:ascii="Arial" w:eastAsiaTheme="minorHAnsi" w:hAnsi="Arial" w:cs="Arial"/>
          <w:sz w:val="20"/>
          <w:szCs w:val="20"/>
          <w:lang w:val="en-GB" w:bidi="lo-LA"/>
        </w:rPr>
        <w:t>overnment, women are confronted with socio-cultural barriers that block their political participation, laws that continue to stymie their political engagement, and half-hearted implementation of policies established for the rea</w:t>
      </w:r>
      <w:r w:rsidR="00FC15DB">
        <w:rPr>
          <w:rFonts w:ascii="Arial" w:eastAsiaTheme="minorHAnsi" w:hAnsi="Arial" w:cs="Arial"/>
          <w:sz w:val="20"/>
          <w:szCs w:val="20"/>
          <w:lang w:val="en-GB" w:bidi="lo-LA"/>
        </w:rPr>
        <w:t>lization of their socio-</w:t>
      </w:r>
      <w:r w:rsidR="00E02111" w:rsidRPr="00DA6F37">
        <w:rPr>
          <w:rFonts w:ascii="Arial" w:eastAsiaTheme="minorHAnsi" w:hAnsi="Arial" w:cs="Arial"/>
          <w:sz w:val="20"/>
          <w:szCs w:val="20"/>
          <w:lang w:val="en-GB" w:bidi="lo-LA"/>
        </w:rPr>
        <w:t>economic and political</w:t>
      </w:r>
      <w:r w:rsidR="00FC15DB">
        <w:rPr>
          <w:rFonts w:ascii="Arial" w:eastAsiaTheme="minorHAnsi" w:hAnsi="Arial" w:cs="Arial"/>
          <w:sz w:val="20"/>
          <w:szCs w:val="20"/>
          <w:lang w:val="en-GB" w:bidi="lo-LA"/>
        </w:rPr>
        <w:t xml:space="preserve"> rights</w:t>
      </w:r>
      <w:r w:rsidR="00E02111" w:rsidRPr="00DA6F37">
        <w:rPr>
          <w:rFonts w:ascii="Arial" w:eastAsiaTheme="minorHAnsi" w:hAnsi="Arial" w:cs="Arial"/>
          <w:sz w:val="20"/>
          <w:szCs w:val="20"/>
          <w:lang w:val="en-GB" w:bidi="lo-LA"/>
        </w:rPr>
        <w:t>. In</w:t>
      </w:r>
      <w:r w:rsidR="00714C11">
        <w:rPr>
          <w:rFonts w:ascii="Arial" w:eastAsiaTheme="minorHAnsi" w:hAnsi="Arial" w:cs="Arial"/>
          <w:sz w:val="20"/>
          <w:szCs w:val="20"/>
          <w:lang w:val="en-GB" w:bidi="lo-LA"/>
        </w:rPr>
        <w:t xml:space="preserve"> 2015, the National Assembly was comprised of</w:t>
      </w:r>
      <w:r w:rsidR="00E02111" w:rsidRPr="00DA6F37">
        <w:rPr>
          <w:rFonts w:ascii="Arial" w:eastAsiaTheme="minorHAnsi" w:hAnsi="Arial" w:cs="Arial"/>
          <w:sz w:val="20"/>
          <w:szCs w:val="20"/>
          <w:lang w:val="en-GB" w:bidi="lo-LA"/>
        </w:rPr>
        <w:t xml:space="preserve"> only 15 women out of a tot</w:t>
      </w:r>
      <w:r w:rsidR="00E02111">
        <w:rPr>
          <w:rFonts w:ascii="Arial" w:eastAsiaTheme="minorHAnsi" w:hAnsi="Arial" w:cs="Arial"/>
          <w:sz w:val="20"/>
          <w:szCs w:val="20"/>
          <w:lang w:val="en-GB" w:bidi="lo-LA"/>
        </w:rPr>
        <w:t>al of 147 parliamentarians (10</w:t>
      </w:r>
      <w:r w:rsidR="00E02111" w:rsidRPr="00DA6F37">
        <w:rPr>
          <w:rFonts w:ascii="Arial" w:eastAsiaTheme="minorHAnsi" w:hAnsi="Arial" w:cs="Arial"/>
          <w:sz w:val="20"/>
          <w:szCs w:val="20"/>
          <w:lang w:val="en-GB" w:bidi="lo-LA"/>
        </w:rPr>
        <w:t>%)</w:t>
      </w:r>
      <w:r w:rsidR="00E02111">
        <w:rPr>
          <w:rStyle w:val="EndnoteReference"/>
          <w:rFonts w:ascii="Arial" w:eastAsiaTheme="minorHAnsi" w:hAnsi="Arial" w:cs="Arial"/>
          <w:sz w:val="20"/>
          <w:szCs w:val="20"/>
          <w:lang w:val="en-GB" w:bidi="lo-LA"/>
        </w:rPr>
        <w:endnoteReference w:id="10"/>
      </w:r>
      <w:r w:rsidR="00E02111" w:rsidRPr="00DA6F37">
        <w:rPr>
          <w:rFonts w:ascii="Arial" w:eastAsiaTheme="minorHAnsi" w:hAnsi="Arial" w:cs="Arial"/>
          <w:sz w:val="20"/>
          <w:szCs w:val="20"/>
          <w:lang w:val="en-GB" w:bidi="lo-LA"/>
        </w:rPr>
        <w:t>.</w:t>
      </w:r>
      <w:r w:rsidR="00A10C2D">
        <w:rPr>
          <w:rFonts w:ascii="Arial" w:eastAsiaTheme="minorHAnsi" w:hAnsi="Arial" w:cs="Arial"/>
          <w:sz w:val="20"/>
          <w:szCs w:val="20"/>
          <w:lang w:val="en-GB" w:bidi="lo-LA"/>
        </w:rPr>
        <w:t xml:space="preserve"> </w:t>
      </w:r>
      <w:r w:rsidR="00FC15DB">
        <w:rPr>
          <w:rFonts w:ascii="Arial" w:eastAsiaTheme="minorHAnsi" w:hAnsi="Arial" w:cs="Arial"/>
          <w:sz w:val="20"/>
          <w:szCs w:val="20"/>
          <w:lang w:val="en-GB" w:bidi="lo-LA"/>
        </w:rPr>
        <w:t xml:space="preserve">The country is further confronted to </w:t>
      </w:r>
      <w:r w:rsidR="00FC15DB" w:rsidRPr="00DA6F37">
        <w:rPr>
          <w:rFonts w:ascii="Arial" w:eastAsiaTheme="minorHAnsi" w:hAnsi="Arial" w:cs="Arial"/>
          <w:sz w:val="20"/>
          <w:szCs w:val="20"/>
          <w:lang w:val="en-GB" w:bidi="lo-LA"/>
        </w:rPr>
        <w:t xml:space="preserve">food insecurity, lack of education, unchecked population growth, high rates of </w:t>
      </w:r>
      <w:r w:rsidR="00714C11">
        <w:rPr>
          <w:rFonts w:ascii="Arial" w:eastAsiaTheme="minorHAnsi" w:hAnsi="Arial" w:cs="Arial"/>
          <w:sz w:val="20"/>
          <w:szCs w:val="20"/>
          <w:lang w:val="en-GB" w:bidi="lo-LA"/>
        </w:rPr>
        <w:t>Gender-</w:t>
      </w:r>
      <w:r w:rsidR="00FC15DB">
        <w:rPr>
          <w:rFonts w:ascii="Arial" w:eastAsiaTheme="minorHAnsi" w:hAnsi="Arial" w:cs="Arial"/>
          <w:sz w:val="20"/>
          <w:szCs w:val="20"/>
          <w:lang w:val="en-GB" w:bidi="lo-LA"/>
        </w:rPr>
        <w:t>Based Violence (GBV)</w:t>
      </w:r>
      <w:r w:rsidR="00FC15DB" w:rsidRPr="00DA6F37">
        <w:rPr>
          <w:rFonts w:ascii="Arial" w:eastAsiaTheme="minorHAnsi" w:hAnsi="Arial" w:cs="Arial"/>
          <w:sz w:val="20"/>
          <w:szCs w:val="20"/>
          <w:lang w:val="en-GB" w:bidi="lo-LA"/>
        </w:rPr>
        <w:t>, conservative religious traditions, and recent political instability</w:t>
      </w:r>
      <w:r w:rsidR="00524EFB">
        <w:rPr>
          <w:rFonts w:ascii="Arial" w:eastAsiaTheme="minorHAnsi" w:hAnsi="Arial" w:cs="Arial"/>
          <w:sz w:val="20"/>
          <w:szCs w:val="20"/>
          <w:lang w:val="en-GB" w:bidi="lo-LA"/>
        </w:rPr>
        <w:t xml:space="preserve"> that contribute to increasing marginalisation of women and girls.</w:t>
      </w:r>
      <w:r w:rsidR="00FC15DB" w:rsidRPr="00DA6F37">
        <w:rPr>
          <w:rFonts w:ascii="Arial" w:eastAsiaTheme="minorHAnsi" w:hAnsi="Arial" w:cs="Arial"/>
          <w:sz w:val="20"/>
          <w:szCs w:val="20"/>
          <w:lang w:val="en-GB" w:bidi="lo-LA"/>
        </w:rPr>
        <w:t xml:space="preserve"> </w:t>
      </w:r>
      <w:r w:rsidR="00A10C2D" w:rsidRPr="00524EFB">
        <w:rPr>
          <w:rFonts w:ascii="Arial" w:eastAsiaTheme="minorHAnsi" w:hAnsi="Arial" w:cs="Arial"/>
          <w:sz w:val="20"/>
          <w:szCs w:val="20"/>
          <w:lang w:val="en-GB" w:bidi="lo-LA"/>
        </w:rPr>
        <w:t xml:space="preserve">The northern part of the country is </w:t>
      </w:r>
      <w:r w:rsidR="00524EFB" w:rsidRPr="00524EFB">
        <w:rPr>
          <w:rFonts w:ascii="Arial" w:eastAsiaTheme="minorHAnsi" w:hAnsi="Arial" w:cs="Arial"/>
          <w:sz w:val="20"/>
          <w:szCs w:val="20"/>
          <w:lang w:val="en-GB" w:bidi="lo-LA"/>
        </w:rPr>
        <w:t>particularly</w:t>
      </w:r>
      <w:r w:rsidR="00A10C2D" w:rsidRPr="00524EFB">
        <w:rPr>
          <w:rFonts w:ascii="Arial" w:eastAsiaTheme="minorHAnsi" w:hAnsi="Arial" w:cs="Arial"/>
          <w:sz w:val="20"/>
          <w:szCs w:val="20"/>
          <w:lang w:val="en-GB" w:bidi="lo-LA"/>
        </w:rPr>
        <w:t xml:space="preserve"> vulnerable because of fewer infrastructures, ongoing conflict</w:t>
      </w:r>
      <w:r w:rsidR="00714C11">
        <w:rPr>
          <w:rFonts w:ascii="Arial" w:eastAsiaTheme="minorHAnsi" w:hAnsi="Arial" w:cs="Arial"/>
          <w:sz w:val="20"/>
          <w:szCs w:val="20"/>
          <w:lang w:val="en-GB" w:bidi="lo-LA"/>
        </w:rPr>
        <w:t>s</w:t>
      </w:r>
      <w:r w:rsidR="00A10C2D" w:rsidRPr="00524EFB">
        <w:rPr>
          <w:rFonts w:ascii="Arial" w:eastAsiaTheme="minorHAnsi" w:hAnsi="Arial" w:cs="Arial"/>
          <w:sz w:val="20"/>
          <w:szCs w:val="20"/>
          <w:lang w:val="en-GB" w:bidi="lo-LA"/>
        </w:rPr>
        <w:t xml:space="preserve"> that put women and girls in very difficult position to have access to social basic services like education, health and clean water.</w:t>
      </w:r>
    </w:p>
    <w:p w:rsidR="008F0733" w:rsidRPr="00DA6F37" w:rsidRDefault="008F0733" w:rsidP="00AA3CA5">
      <w:pPr>
        <w:jc w:val="both"/>
        <w:rPr>
          <w:rFonts w:ascii="Arial" w:eastAsiaTheme="minorHAnsi" w:hAnsi="Arial" w:cs="Arial"/>
          <w:sz w:val="20"/>
          <w:szCs w:val="20"/>
          <w:lang w:val="en-GB" w:bidi="lo-LA"/>
        </w:rPr>
      </w:pPr>
    </w:p>
    <w:p w:rsidR="008102E3" w:rsidRPr="001A224D" w:rsidRDefault="00412A88" w:rsidP="0089010E">
      <w:pPr>
        <w:jc w:val="both"/>
        <w:rPr>
          <w:rFonts w:ascii="Arial" w:eastAsiaTheme="minorHAnsi" w:hAnsi="Arial" w:cs="Arial"/>
          <w:sz w:val="20"/>
          <w:szCs w:val="20"/>
          <w:lang w:val="en-AU" w:bidi="lo-LA"/>
        </w:rPr>
      </w:pPr>
      <w:r w:rsidRPr="00412A88">
        <w:rPr>
          <w:rFonts w:ascii="Arial" w:eastAsiaTheme="minorHAnsi" w:hAnsi="Arial" w:cs="Arial"/>
          <w:b/>
          <w:sz w:val="20"/>
          <w:szCs w:val="20"/>
          <w:lang w:val="en-GB" w:bidi="lo-LA"/>
        </w:rPr>
        <w:t>Traditional roles and responsibilities:</w:t>
      </w:r>
      <w:r>
        <w:rPr>
          <w:rFonts w:eastAsiaTheme="minorHAnsi" w:cs="Arial"/>
          <w:szCs w:val="20"/>
          <w:lang w:val="en-GB" w:bidi="lo-LA"/>
        </w:rPr>
        <w:t xml:space="preserve"> </w:t>
      </w:r>
      <w:r w:rsidR="00350712">
        <w:rPr>
          <w:rFonts w:ascii="Arial" w:eastAsiaTheme="minorHAnsi" w:hAnsi="Arial" w:cs="Arial"/>
          <w:color w:val="000000"/>
          <w:sz w:val="20"/>
          <w:szCs w:val="20"/>
          <w:lang w:val="en-AU" w:eastAsia="fr-FR" w:bidi="lo-LA"/>
        </w:rPr>
        <w:t>41%</w:t>
      </w:r>
      <w:r w:rsidR="008B7B0D">
        <w:rPr>
          <w:rFonts w:ascii="Arial" w:eastAsiaTheme="minorHAnsi" w:hAnsi="Arial" w:cs="Arial"/>
          <w:color w:val="000000"/>
          <w:sz w:val="20"/>
          <w:szCs w:val="20"/>
          <w:lang w:val="en-AU" w:eastAsia="fr-FR" w:bidi="lo-LA"/>
        </w:rPr>
        <w:t xml:space="preserve"> of employed men </w:t>
      </w:r>
      <w:r w:rsidR="00350712">
        <w:rPr>
          <w:rFonts w:ascii="Arial" w:eastAsiaTheme="minorHAnsi" w:hAnsi="Arial" w:cs="Arial"/>
          <w:color w:val="000000"/>
          <w:sz w:val="20"/>
          <w:szCs w:val="20"/>
          <w:lang w:val="en-AU" w:eastAsia="fr-FR" w:bidi="lo-LA"/>
        </w:rPr>
        <w:t>work in agriculture and farming while 24% of women also work in this sector</w:t>
      </w:r>
      <w:r w:rsidR="00F70571">
        <w:rPr>
          <w:rFonts w:ascii="Arial" w:eastAsiaTheme="minorHAnsi" w:hAnsi="Arial" w:cs="Arial"/>
          <w:color w:val="000000"/>
          <w:sz w:val="20"/>
          <w:szCs w:val="20"/>
          <w:lang w:val="en-AU" w:eastAsia="fr-FR" w:bidi="lo-LA"/>
        </w:rPr>
        <w:t>.</w:t>
      </w:r>
      <w:r w:rsidR="00350712">
        <w:rPr>
          <w:rFonts w:ascii="Arial" w:eastAsiaTheme="minorHAnsi" w:hAnsi="Arial" w:cs="Arial"/>
          <w:color w:val="000000"/>
          <w:sz w:val="20"/>
          <w:szCs w:val="20"/>
          <w:lang w:val="en-AU" w:eastAsia="fr-FR" w:bidi="lo-LA"/>
        </w:rPr>
        <w:t xml:space="preserve"> Around 24% of women work in petty trading and selling (</w:t>
      </w:r>
      <w:r w:rsidR="00DC0DAC">
        <w:rPr>
          <w:rFonts w:ascii="Arial" w:eastAsiaTheme="minorHAnsi" w:hAnsi="Arial" w:cs="Arial"/>
          <w:color w:val="000000"/>
          <w:sz w:val="20"/>
          <w:szCs w:val="20"/>
          <w:lang w:val="en-AU" w:eastAsia="fr-FR" w:bidi="lo-LA"/>
        </w:rPr>
        <w:t>only</w:t>
      </w:r>
      <w:r w:rsidR="00350712">
        <w:rPr>
          <w:rFonts w:ascii="Arial" w:eastAsiaTheme="minorHAnsi" w:hAnsi="Arial" w:cs="Arial"/>
          <w:color w:val="000000"/>
          <w:sz w:val="20"/>
          <w:szCs w:val="20"/>
          <w:lang w:val="en-AU" w:eastAsia="fr-FR" w:bidi="lo-LA"/>
        </w:rPr>
        <w:t xml:space="preserve"> 7% of men). A high percentage of women are likely to work without pay at all (27.2% of women as compared to 1.6% of men)</w:t>
      </w:r>
      <w:r w:rsidR="00776F71">
        <w:rPr>
          <w:rFonts w:ascii="Arial" w:eastAsiaTheme="minorHAnsi" w:hAnsi="Arial" w:cs="Arial"/>
          <w:color w:val="000000"/>
          <w:sz w:val="20"/>
          <w:szCs w:val="20"/>
          <w:lang w:val="en-AU" w:eastAsia="fr-FR" w:bidi="lo-LA"/>
        </w:rPr>
        <w:t>, and a</w:t>
      </w:r>
      <w:r w:rsidR="00546968">
        <w:rPr>
          <w:rFonts w:ascii="Arial" w:eastAsiaTheme="minorHAnsi" w:hAnsi="Arial" w:cs="Arial"/>
          <w:color w:val="000000"/>
          <w:sz w:val="20"/>
          <w:szCs w:val="20"/>
          <w:lang w:val="en-AU" w:eastAsia="fr-FR" w:bidi="lo-LA"/>
        </w:rPr>
        <w:t xml:space="preserve">s a general fact, </w:t>
      </w:r>
      <w:r w:rsidR="00546968" w:rsidRPr="00546968">
        <w:rPr>
          <w:rFonts w:ascii="Arial" w:eastAsiaTheme="minorHAnsi" w:hAnsi="Arial" w:cs="Arial"/>
          <w:color w:val="000000"/>
          <w:sz w:val="20"/>
          <w:szCs w:val="20"/>
          <w:lang w:val="en-AU" w:eastAsia="fr-FR" w:bidi="lo-LA"/>
        </w:rPr>
        <w:t>women earn lower incomes then men</w:t>
      </w:r>
      <w:r w:rsidR="00546968">
        <w:rPr>
          <w:rStyle w:val="EndnoteReference"/>
          <w:rFonts w:ascii="Arial" w:eastAsiaTheme="minorHAnsi" w:hAnsi="Arial" w:cs="Arial"/>
          <w:color w:val="000000"/>
          <w:sz w:val="20"/>
          <w:szCs w:val="20"/>
          <w:lang w:val="en-AU" w:eastAsia="fr-FR" w:bidi="lo-LA"/>
        </w:rPr>
        <w:endnoteReference w:id="11"/>
      </w:r>
      <w:r w:rsidR="00546968" w:rsidRPr="00546968">
        <w:rPr>
          <w:rFonts w:ascii="Arial" w:eastAsiaTheme="minorHAnsi" w:hAnsi="Arial" w:cs="Arial"/>
          <w:color w:val="000000"/>
          <w:sz w:val="20"/>
          <w:szCs w:val="20"/>
          <w:lang w:val="en-AU" w:eastAsia="fr-FR" w:bidi="lo-LA"/>
        </w:rPr>
        <w:t>.</w:t>
      </w:r>
      <w:r w:rsidR="00F70571">
        <w:rPr>
          <w:rFonts w:ascii="Arial" w:eastAsiaTheme="minorHAnsi" w:hAnsi="Arial" w:cs="Arial"/>
          <w:color w:val="000000"/>
          <w:sz w:val="20"/>
          <w:szCs w:val="20"/>
          <w:lang w:val="en-AU" w:eastAsia="fr-FR" w:bidi="lo-LA"/>
        </w:rPr>
        <w:t xml:space="preserve"> </w:t>
      </w:r>
      <w:r w:rsidR="007C74E9" w:rsidRPr="007C74E9">
        <w:rPr>
          <w:rFonts w:ascii="Arial" w:eastAsiaTheme="minorHAnsi" w:hAnsi="Arial" w:cs="Arial"/>
          <w:sz w:val="20"/>
          <w:szCs w:val="20"/>
          <w:lang w:val="en-AU" w:bidi="lo-LA"/>
        </w:rPr>
        <w:t>In 2013, female headed households possessed 84% less assets (including land) than male headed households. Other studies have shown that the majority of women in Mali only had access to land ownership through their husband</w:t>
      </w:r>
      <w:r w:rsidR="00B8220D" w:rsidRPr="007C74E9">
        <w:rPr>
          <w:rStyle w:val="EndnoteReference"/>
          <w:rFonts w:ascii="Arial" w:eastAsiaTheme="minorHAnsi" w:hAnsi="Arial" w:cs="Arial"/>
          <w:sz w:val="20"/>
          <w:szCs w:val="20"/>
          <w:lang w:val="en-GB" w:bidi="lo-LA"/>
        </w:rPr>
        <w:endnoteReference w:id="12"/>
      </w:r>
      <w:r w:rsidR="00B8220D" w:rsidRPr="007C74E9">
        <w:rPr>
          <w:rFonts w:ascii="Arial" w:eastAsiaTheme="minorHAnsi" w:hAnsi="Arial" w:cs="Arial"/>
          <w:sz w:val="20"/>
          <w:szCs w:val="20"/>
          <w:lang w:val="en-AU" w:bidi="lo-LA"/>
        </w:rPr>
        <w:t>.</w:t>
      </w:r>
      <w:r w:rsidR="008102E3">
        <w:rPr>
          <w:rFonts w:ascii="Arial" w:eastAsiaTheme="minorHAnsi" w:hAnsi="Arial" w:cs="Arial"/>
          <w:sz w:val="20"/>
          <w:szCs w:val="20"/>
          <w:lang w:val="en-AU" w:bidi="lo-LA"/>
        </w:rPr>
        <w:t xml:space="preserve"> </w:t>
      </w:r>
      <w:r w:rsidR="008102E3" w:rsidRPr="0089010E">
        <w:rPr>
          <w:rFonts w:ascii="Arial" w:eastAsiaTheme="minorHAnsi" w:hAnsi="Arial" w:cs="Arial"/>
          <w:sz w:val="20"/>
          <w:szCs w:val="20"/>
          <w:lang w:val="en-AU" w:bidi="lo-LA"/>
        </w:rPr>
        <w:t>Almost all women in male headed households are married (97%) and 77% of women in female headed households are widows. About half of women in general share their husband with another woman (48%)</w:t>
      </w:r>
      <w:r w:rsidR="008102E3">
        <w:rPr>
          <w:rStyle w:val="EndnoteReference"/>
          <w:rFonts w:eastAsiaTheme="minorHAnsi"/>
          <w:sz w:val="20"/>
          <w:szCs w:val="20"/>
          <w:lang w:val="en-GB" w:bidi="lo-LA"/>
        </w:rPr>
        <w:endnoteReference w:id="13"/>
      </w:r>
      <w:r w:rsidR="008102E3" w:rsidRPr="008102E3">
        <w:rPr>
          <w:rFonts w:eastAsiaTheme="minorHAnsi"/>
          <w:sz w:val="20"/>
          <w:szCs w:val="20"/>
          <w:lang w:val="en-AU" w:bidi="lo-LA"/>
        </w:rPr>
        <w:t>.</w:t>
      </w:r>
      <w:r w:rsidR="001A224D">
        <w:rPr>
          <w:rFonts w:eastAsiaTheme="minorHAnsi"/>
          <w:sz w:val="20"/>
          <w:szCs w:val="20"/>
          <w:lang w:val="en-AU" w:bidi="lo-LA"/>
        </w:rPr>
        <w:t xml:space="preserve"> </w:t>
      </w:r>
      <w:r w:rsidR="001A224D" w:rsidRPr="001A224D">
        <w:rPr>
          <w:rFonts w:ascii="Arial" w:eastAsiaTheme="minorHAnsi" w:hAnsi="Arial" w:cs="Arial"/>
          <w:sz w:val="20"/>
          <w:szCs w:val="20"/>
          <w:lang w:val="en-AU" w:bidi="lo-LA"/>
        </w:rPr>
        <w:t>In terms of household roles, both men and women reported the attitude that caring for the home is a women's role, but these gender perceptions are changing with young</w:t>
      </w:r>
      <w:r w:rsidR="00DC0DAC">
        <w:rPr>
          <w:rFonts w:ascii="Arial" w:eastAsiaTheme="minorHAnsi" w:hAnsi="Arial" w:cs="Arial"/>
          <w:sz w:val="20"/>
          <w:szCs w:val="20"/>
          <w:lang w:val="en-AU" w:bidi="lo-LA"/>
        </w:rPr>
        <w:t>er</w:t>
      </w:r>
      <w:r w:rsidR="001A224D" w:rsidRPr="001A224D">
        <w:rPr>
          <w:rFonts w:ascii="Arial" w:eastAsiaTheme="minorHAnsi" w:hAnsi="Arial" w:cs="Arial"/>
          <w:sz w:val="20"/>
          <w:szCs w:val="20"/>
          <w:lang w:val="en-AU" w:bidi="lo-LA"/>
        </w:rPr>
        <w:t xml:space="preserve"> people getting higher education levels</w:t>
      </w:r>
      <w:r w:rsidR="001A224D">
        <w:rPr>
          <w:rStyle w:val="EndnoteReference"/>
          <w:rFonts w:ascii="Arial" w:eastAsiaTheme="minorHAnsi" w:hAnsi="Arial" w:cs="Arial"/>
          <w:sz w:val="20"/>
          <w:szCs w:val="20"/>
          <w:lang w:val="en-AU" w:bidi="lo-LA"/>
        </w:rPr>
        <w:endnoteReference w:id="14"/>
      </w:r>
      <w:r w:rsidR="001A224D" w:rsidRPr="001A224D">
        <w:rPr>
          <w:rFonts w:ascii="Arial" w:eastAsiaTheme="minorHAnsi" w:hAnsi="Arial" w:cs="Arial"/>
          <w:sz w:val="20"/>
          <w:szCs w:val="20"/>
          <w:lang w:val="en-AU" w:bidi="lo-LA"/>
        </w:rPr>
        <w:t>.</w:t>
      </w:r>
    </w:p>
    <w:p w:rsidR="00B8220D" w:rsidRPr="008102E3" w:rsidRDefault="00B8220D" w:rsidP="00AA3CA5">
      <w:pPr>
        <w:jc w:val="both"/>
        <w:rPr>
          <w:rFonts w:ascii="Arial" w:eastAsiaTheme="minorHAnsi" w:hAnsi="Arial" w:cs="Arial"/>
          <w:sz w:val="20"/>
          <w:szCs w:val="20"/>
          <w:lang w:val="en-AU" w:bidi="lo-LA"/>
        </w:rPr>
      </w:pPr>
    </w:p>
    <w:p w:rsidR="002A773B" w:rsidRPr="0067063F" w:rsidRDefault="002D1F0C" w:rsidP="00A10C2D">
      <w:pPr>
        <w:jc w:val="both"/>
        <w:rPr>
          <w:rFonts w:ascii="Arial" w:eastAsiaTheme="minorHAnsi" w:hAnsi="Arial" w:cs="Arial"/>
          <w:sz w:val="20"/>
          <w:szCs w:val="20"/>
          <w:lang w:val="en-GB" w:bidi="lo-LA"/>
        </w:rPr>
      </w:pPr>
      <w:r w:rsidRPr="002D1F0C">
        <w:rPr>
          <w:rFonts w:ascii="Arial" w:eastAsiaTheme="minorHAnsi" w:hAnsi="Arial" w:cs="Arial"/>
          <w:b/>
          <w:sz w:val="20"/>
          <w:szCs w:val="20"/>
          <w:lang w:val="en-GB" w:bidi="lo-LA"/>
        </w:rPr>
        <w:t>Employment and income:</w:t>
      </w:r>
      <w:r w:rsidR="002A773B">
        <w:rPr>
          <w:rFonts w:ascii="Arial" w:hAnsi="Arial" w:cs="Arial"/>
          <w:b/>
          <w:sz w:val="20"/>
          <w:szCs w:val="20"/>
          <w:lang w:val="en-GB"/>
        </w:rPr>
        <w:t xml:space="preserve"> </w:t>
      </w:r>
      <w:r w:rsidR="002A773B" w:rsidRPr="0067063F">
        <w:rPr>
          <w:rFonts w:ascii="Arial" w:eastAsiaTheme="minorHAnsi" w:hAnsi="Arial" w:cs="Arial"/>
          <w:sz w:val="20"/>
          <w:szCs w:val="20"/>
          <w:lang w:val="en-GB" w:bidi="lo-LA"/>
        </w:rPr>
        <w:t>Only 5% of women can freely circulate, which is a constraint on their capacity to participate in income generating activities</w:t>
      </w:r>
      <w:r w:rsidR="002A773B">
        <w:rPr>
          <w:rStyle w:val="EndnoteReference"/>
          <w:rFonts w:ascii="Arial" w:eastAsiaTheme="minorHAnsi" w:hAnsi="Arial" w:cs="Arial"/>
          <w:sz w:val="20"/>
          <w:szCs w:val="20"/>
          <w:lang w:val="en-GB" w:bidi="lo-LA"/>
        </w:rPr>
        <w:endnoteReference w:id="15"/>
      </w:r>
      <w:r w:rsidR="002A773B" w:rsidRPr="0067063F">
        <w:rPr>
          <w:rFonts w:ascii="Arial" w:eastAsiaTheme="minorHAnsi" w:hAnsi="Arial" w:cs="Arial"/>
          <w:sz w:val="20"/>
          <w:szCs w:val="20"/>
          <w:lang w:val="en-GB" w:bidi="lo-LA"/>
        </w:rPr>
        <w:t>.</w:t>
      </w:r>
      <w:r w:rsidR="00A10C2D">
        <w:rPr>
          <w:rFonts w:ascii="Arial" w:eastAsiaTheme="minorHAnsi" w:hAnsi="Arial" w:cs="Arial"/>
          <w:sz w:val="20"/>
          <w:szCs w:val="20"/>
          <w:lang w:val="en-GB" w:bidi="lo-LA"/>
        </w:rPr>
        <w:t xml:space="preserve"> </w:t>
      </w:r>
      <w:r w:rsidR="0089010E">
        <w:rPr>
          <w:rFonts w:ascii="Arial" w:eastAsiaTheme="minorHAnsi" w:hAnsi="Arial" w:cs="Arial"/>
          <w:sz w:val="20"/>
          <w:szCs w:val="20"/>
          <w:lang w:val="en-GB" w:bidi="lo-LA"/>
        </w:rPr>
        <w:t>M</w:t>
      </w:r>
      <w:r w:rsidR="0089010E" w:rsidRPr="0089010E">
        <w:rPr>
          <w:rFonts w:ascii="Arial" w:eastAsiaTheme="minorHAnsi" w:hAnsi="Arial" w:cs="Arial"/>
          <w:sz w:val="20"/>
          <w:szCs w:val="20"/>
          <w:lang w:val="en-GB" w:bidi="lo-LA"/>
        </w:rPr>
        <w:t>en are more likely than women to be salaried workers, even when other potentially influential factors such as educational attainment, age, marital status, structural/economic factors, region/place of residence, agency (political, economic and social), intergenerational aspects and aspirations are taken into account. This highlights decreasing paid emp</w:t>
      </w:r>
      <w:r w:rsidR="0089010E">
        <w:rPr>
          <w:rFonts w:ascii="Arial" w:eastAsiaTheme="minorHAnsi" w:hAnsi="Arial" w:cs="Arial"/>
          <w:sz w:val="20"/>
          <w:szCs w:val="20"/>
          <w:lang w:val="en-GB" w:bidi="lo-LA"/>
        </w:rPr>
        <w:t xml:space="preserve">loyment opportunities for women. </w:t>
      </w:r>
      <w:r w:rsidR="00DC0DAC">
        <w:rPr>
          <w:rFonts w:ascii="Arial" w:eastAsiaTheme="minorHAnsi" w:hAnsi="Arial" w:cs="Arial"/>
          <w:sz w:val="20"/>
          <w:szCs w:val="20"/>
          <w:lang w:val="en-GB" w:bidi="lo-LA"/>
        </w:rPr>
        <w:t xml:space="preserve">The </w:t>
      </w:r>
      <w:r w:rsidR="00A10C2D" w:rsidRPr="00D07662">
        <w:rPr>
          <w:rFonts w:ascii="Arial" w:eastAsiaTheme="minorHAnsi" w:hAnsi="Arial" w:cs="Arial"/>
          <w:sz w:val="20"/>
          <w:szCs w:val="20"/>
          <w:lang w:val="en-GB" w:bidi="lo-LA"/>
        </w:rPr>
        <w:t xml:space="preserve">Government </w:t>
      </w:r>
      <w:r w:rsidR="00DC0DAC">
        <w:rPr>
          <w:rFonts w:ascii="Arial" w:eastAsiaTheme="minorHAnsi" w:hAnsi="Arial" w:cs="Arial"/>
          <w:sz w:val="20"/>
          <w:szCs w:val="20"/>
          <w:lang w:val="en-GB" w:bidi="lo-LA"/>
        </w:rPr>
        <w:t xml:space="preserve">is making </w:t>
      </w:r>
      <w:r w:rsidR="00A10C2D" w:rsidRPr="00D07662">
        <w:rPr>
          <w:rFonts w:ascii="Arial" w:eastAsiaTheme="minorHAnsi" w:hAnsi="Arial" w:cs="Arial"/>
          <w:sz w:val="20"/>
          <w:szCs w:val="20"/>
          <w:lang w:val="en-GB" w:bidi="lo-LA"/>
        </w:rPr>
        <w:t xml:space="preserve">efforts to increase women’s access to land property through the implementation of the Agricultural Framework Law </w:t>
      </w:r>
      <w:r w:rsidR="00DC0DAC">
        <w:rPr>
          <w:rFonts w:ascii="Arial" w:eastAsiaTheme="minorHAnsi" w:hAnsi="Arial" w:cs="Arial"/>
          <w:sz w:val="20"/>
          <w:szCs w:val="20"/>
          <w:lang w:val="en-GB" w:bidi="lo-LA"/>
        </w:rPr>
        <w:t>(</w:t>
      </w:r>
      <w:r w:rsidR="00A10C2D" w:rsidRPr="00D07662">
        <w:rPr>
          <w:rFonts w:ascii="Arial" w:eastAsiaTheme="minorHAnsi" w:hAnsi="Arial" w:cs="Arial"/>
          <w:sz w:val="20"/>
          <w:szCs w:val="20"/>
          <w:lang w:val="en-GB" w:bidi="lo-LA"/>
        </w:rPr>
        <w:t>which included specific provisions for women</w:t>
      </w:r>
      <w:r w:rsidR="00DC0DAC">
        <w:rPr>
          <w:rFonts w:ascii="Arial" w:eastAsiaTheme="minorHAnsi" w:hAnsi="Arial" w:cs="Arial"/>
          <w:sz w:val="20"/>
          <w:szCs w:val="20"/>
          <w:lang w:val="en-GB" w:bidi="lo-LA"/>
        </w:rPr>
        <w:t>,</w:t>
      </w:r>
      <w:r w:rsidR="00A10C2D" w:rsidRPr="00D07662">
        <w:rPr>
          <w:rFonts w:ascii="Arial" w:eastAsiaTheme="minorHAnsi" w:hAnsi="Arial" w:cs="Arial"/>
          <w:sz w:val="20"/>
          <w:szCs w:val="20"/>
          <w:lang w:val="en-GB" w:bidi="lo-LA"/>
        </w:rPr>
        <w:t xml:space="preserve"> 30% of newly reclaimed and arable land available for women and young people</w:t>
      </w:r>
      <w:r w:rsidR="00DC0DAC">
        <w:rPr>
          <w:rFonts w:ascii="Arial" w:eastAsiaTheme="minorHAnsi" w:hAnsi="Arial" w:cs="Arial"/>
          <w:sz w:val="20"/>
          <w:szCs w:val="20"/>
          <w:lang w:val="en-GB" w:bidi="lo-LA"/>
        </w:rPr>
        <w:t>)</w:t>
      </w:r>
      <w:r w:rsidR="00A10C2D" w:rsidRPr="00D07662">
        <w:rPr>
          <w:rFonts w:ascii="Arial" w:eastAsiaTheme="minorHAnsi" w:hAnsi="Arial" w:cs="Arial"/>
          <w:sz w:val="20"/>
          <w:szCs w:val="20"/>
          <w:lang w:val="en-GB" w:bidi="lo-LA"/>
        </w:rPr>
        <w:t>, but this policy it is not well implemented.</w:t>
      </w:r>
    </w:p>
    <w:p w:rsidR="00200C04" w:rsidRPr="00A10C2D" w:rsidRDefault="00200C04" w:rsidP="00200C04">
      <w:pPr>
        <w:rPr>
          <w:rFonts w:ascii="Arial" w:hAnsi="Arial" w:cs="Arial"/>
          <w:sz w:val="20"/>
          <w:szCs w:val="20"/>
          <w:lang w:val="en-GB" w:bidi="lo-LA"/>
        </w:rPr>
      </w:pPr>
    </w:p>
    <w:p w:rsidR="001A7E32" w:rsidRPr="00DA6F37" w:rsidRDefault="00131D65" w:rsidP="001A7E32">
      <w:pPr>
        <w:jc w:val="both"/>
        <w:rPr>
          <w:rFonts w:ascii="Arial" w:eastAsiaTheme="minorHAnsi" w:hAnsi="Arial" w:cs="Arial"/>
          <w:sz w:val="20"/>
          <w:szCs w:val="20"/>
          <w:lang w:val="en-GB" w:bidi="lo-LA"/>
        </w:rPr>
      </w:pPr>
      <w:r w:rsidRPr="001A7E32">
        <w:rPr>
          <w:rFonts w:ascii="Arial" w:eastAsiaTheme="minorHAnsi" w:hAnsi="Arial" w:cs="Arial"/>
          <w:b/>
          <w:sz w:val="20"/>
          <w:szCs w:val="20"/>
          <w:lang w:val="en-GB" w:bidi="lo-LA"/>
        </w:rPr>
        <w:t>Education and literacy:</w:t>
      </w:r>
      <w:r w:rsidRPr="00131D65">
        <w:rPr>
          <w:rFonts w:eastAsiaTheme="minorHAnsi" w:cs="Arial"/>
          <w:b/>
          <w:sz w:val="20"/>
          <w:szCs w:val="20"/>
          <w:lang w:val="en-GB" w:bidi="lo-LA"/>
        </w:rPr>
        <w:t xml:space="preserve"> </w:t>
      </w:r>
      <w:r w:rsidR="001A7E32" w:rsidRPr="00DA6F37">
        <w:rPr>
          <w:rFonts w:ascii="Arial" w:eastAsiaTheme="minorHAnsi" w:hAnsi="Arial" w:cs="Arial"/>
          <w:sz w:val="20"/>
          <w:szCs w:val="20"/>
          <w:lang w:val="en-GB" w:bidi="lo-LA"/>
        </w:rPr>
        <w:t>Mali is a country whose future is dependent on the development of the potential of its youth</w:t>
      </w:r>
      <w:r w:rsidR="007C74E9">
        <w:rPr>
          <w:rFonts w:ascii="Arial" w:eastAsiaTheme="minorHAnsi" w:hAnsi="Arial" w:cs="Arial"/>
          <w:sz w:val="20"/>
          <w:szCs w:val="20"/>
          <w:lang w:val="en-GB" w:bidi="lo-LA"/>
        </w:rPr>
        <w:t>,</w:t>
      </w:r>
      <w:r w:rsidR="001A7E32" w:rsidRPr="00DA6F37">
        <w:rPr>
          <w:rFonts w:ascii="Arial" w:eastAsiaTheme="minorHAnsi" w:hAnsi="Arial" w:cs="Arial"/>
          <w:sz w:val="20"/>
          <w:szCs w:val="20"/>
          <w:lang w:val="en-GB" w:bidi="lo-LA"/>
        </w:rPr>
        <w:t xml:space="preserve"> making education a crucial element of development. School completion rates, while generally low, show an important gender disparity (29.1% for girls and 43% for boys). </w:t>
      </w:r>
      <w:r w:rsidR="007C74E9">
        <w:rPr>
          <w:rFonts w:ascii="Arial" w:eastAsiaTheme="minorHAnsi" w:hAnsi="Arial" w:cs="Arial"/>
          <w:sz w:val="20"/>
          <w:szCs w:val="20"/>
          <w:lang w:val="en-GB" w:bidi="lo-LA"/>
        </w:rPr>
        <w:t>Literacy rates for young</w:t>
      </w:r>
      <w:r w:rsidR="001A7E32" w:rsidRPr="00DA6F37">
        <w:rPr>
          <w:rFonts w:ascii="Arial" w:eastAsiaTheme="minorHAnsi" w:hAnsi="Arial" w:cs="Arial"/>
          <w:sz w:val="20"/>
          <w:szCs w:val="20"/>
          <w:lang w:val="en-GB" w:bidi="lo-LA"/>
        </w:rPr>
        <w:t xml:space="preserve"> women </w:t>
      </w:r>
      <w:r w:rsidR="007C74E9">
        <w:rPr>
          <w:rFonts w:ascii="Arial" w:eastAsiaTheme="minorHAnsi" w:hAnsi="Arial" w:cs="Arial"/>
          <w:sz w:val="20"/>
          <w:szCs w:val="20"/>
          <w:lang w:val="en-GB" w:bidi="lo-LA"/>
        </w:rPr>
        <w:t>(</w:t>
      </w:r>
      <w:r w:rsidR="001A7E32" w:rsidRPr="00DA6F37">
        <w:rPr>
          <w:rFonts w:ascii="Arial" w:eastAsiaTheme="minorHAnsi" w:hAnsi="Arial" w:cs="Arial"/>
          <w:sz w:val="20"/>
          <w:szCs w:val="20"/>
          <w:lang w:val="en-GB" w:bidi="lo-LA"/>
        </w:rPr>
        <w:t>15-24 years</w:t>
      </w:r>
      <w:r w:rsidR="007C74E9">
        <w:rPr>
          <w:rFonts w:ascii="Arial" w:eastAsiaTheme="minorHAnsi" w:hAnsi="Arial" w:cs="Arial"/>
          <w:sz w:val="20"/>
          <w:szCs w:val="20"/>
          <w:lang w:val="en-GB" w:bidi="lo-LA"/>
        </w:rPr>
        <w:t>)</w:t>
      </w:r>
      <w:r w:rsidR="001A7E32" w:rsidRPr="00DA6F37">
        <w:rPr>
          <w:rFonts w:ascii="Arial" w:eastAsiaTheme="minorHAnsi" w:hAnsi="Arial" w:cs="Arial"/>
          <w:sz w:val="20"/>
          <w:szCs w:val="20"/>
          <w:lang w:val="en-GB" w:bidi="lo-LA"/>
        </w:rPr>
        <w:t xml:space="preserve"> are 39% versus 56% for their male counterparts</w:t>
      </w:r>
      <w:r w:rsidR="007C74E9">
        <w:rPr>
          <w:rStyle w:val="EndnoteReference"/>
          <w:rFonts w:ascii="Arial" w:eastAsiaTheme="minorHAnsi" w:hAnsi="Arial" w:cs="Arial"/>
          <w:sz w:val="20"/>
          <w:szCs w:val="20"/>
          <w:lang w:val="en-GB" w:bidi="lo-LA"/>
        </w:rPr>
        <w:endnoteReference w:id="16"/>
      </w:r>
      <w:r w:rsidR="001A7E32" w:rsidRPr="00DA6F37">
        <w:rPr>
          <w:rFonts w:ascii="Arial" w:eastAsiaTheme="minorHAnsi" w:hAnsi="Arial" w:cs="Arial"/>
          <w:sz w:val="20"/>
          <w:szCs w:val="20"/>
          <w:lang w:val="en-GB" w:bidi="lo-LA"/>
        </w:rPr>
        <w:t>.</w:t>
      </w:r>
      <w:r w:rsidR="002F2408">
        <w:rPr>
          <w:rFonts w:ascii="Arial" w:eastAsiaTheme="minorHAnsi" w:hAnsi="Arial" w:cs="Arial"/>
          <w:sz w:val="20"/>
          <w:szCs w:val="20"/>
          <w:lang w:val="en-GB" w:bidi="lo-LA"/>
        </w:rPr>
        <w:t xml:space="preserve"> </w:t>
      </w:r>
      <w:r w:rsidR="001A7E32" w:rsidRPr="00DA6F37">
        <w:rPr>
          <w:rFonts w:ascii="Arial" w:eastAsiaTheme="minorHAnsi" w:hAnsi="Arial" w:cs="Arial"/>
          <w:sz w:val="20"/>
          <w:szCs w:val="20"/>
          <w:lang w:val="en-GB" w:bidi="lo-LA"/>
        </w:rPr>
        <w:t xml:space="preserve">Only 28% of girls in rural areas go to school, versus 55% in urban areas. </w:t>
      </w:r>
      <w:r w:rsidR="002F2408">
        <w:rPr>
          <w:rFonts w:ascii="Arial" w:eastAsiaTheme="minorHAnsi" w:hAnsi="Arial" w:cs="Arial"/>
          <w:sz w:val="20"/>
          <w:szCs w:val="20"/>
          <w:lang w:val="en-GB" w:bidi="lo-LA"/>
        </w:rPr>
        <w:t>It can also be noticed that literacy rates are extremely low in female headed households (8.6%) in comparison to male headed households (44%)</w:t>
      </w:r>
      <w:r w:rsidR="002F2408">
        <w:rPr>
          <w:rStyle w:val="EndnoteReference"/>
          <w:rFonts w:ascii="Arial" w:eastAsiaTheme="minorHAnsi" w:hAnsi="Arial" w:cs="Arial"/>
          <w:sz w:val="20"/>
          <w:szCs w:val="20"/>
          <w:lang w:val="en-GB" w:bidi="lo-LA"/>
        </w:rPr>
        <w:endnoteReference w:id="17"/>
      </w:r>
      <w:r w:rsidR="002F2408">
        <w:rPr>
          <w:rFonts w:ascii="Arial" w:eastAsiaTheme="minorHAnsi" w:hAnsi="Arial" w:cs="Arial"/>
          <w:sz w:val="20"/>
          <w:szCs w:val="20"/>
          <w:lang w:val="en-GB" w:bidi="lo-LA"/>
        </w:rPr>
        <w:t xml:space="preserve">. </w:t>
      </w:r>
    </w:p>
    <w:p w:rsidR="008F0733" w:rsidRPr="005E1059" w:rsidRDefault="008F0733" w:rsidP="00AA3CA5">
      <w:pPr>
        <w:rPr>
          <w:rFonts w:ascii="Arial" w:hAnsi="Arial" w:cs="Arial"/>
          <w:sz w:val="20"/>
          <w:szCs w:val="20"/>
          <w:lang w:val="en-AU"/>
        </w:rPr>
      </w:pPr>
    </w:p>
    <w:p w:rsidR="00E02111" w:rsidRDefault="00412A88" w:rsidP="00E02111">
      <w:pPr>
        <w:jc w:val="both"/>
        <w:rPr>
          <w:rFonts w:ascii="Arial" w:eastAsiaTheme="minorHAnsi" w:hAnsi="Arial" w:cs="Arial"/>
          <w:sz w:val="20"/>
          <w:szCs w:val="20"/>
          <w:lang w:val="en-GB" w:bidi="lo-LA"/>
        </w:rPr>
      </w:pPr>
      <w:r w:rsidRPr="00412A88">
        <w:rPr>
          <w:rFonts w:ascii="Arial" w:eastAsiaTheme="minorHAnsi" w:hAnsi="Arial" w:cs="Arial"/>
          <w:b/>
          <w:sz w:val="20"/>
          <w:szCs w:val="20"/>
          <w:lang w:val="en-GB" w:bidi="lo-LA"/>
        </w:rPr>
        <w:t>Gender equality, legislation and representation:</w:t>
      </w:r>
      <w:r>
        <w:rPr>
          <w:rFonts w:eastAsiaTheme="minorHAnsi" w:cs="Arial"/>
          <w:b/>
          <w:szCs w:val="20"/>
          <w:lang w:val="en-GB" w:bidi="lo-LA"/>
        </w:rPr>
        <w:t xml:space="preserve"> </w:t>
      </w:r>
      <w:r w:rsidRPr="00DA6F37">
        <w:rPr>
          <w:rFonts w:ascii="Arial" w:eastAsiaTheme="minorHAnsi" w:hAnsi="Arial" w:cs="Arial"/>
          <w:sz w:val="20"/>
          <w:szCs w:val="20"/>
          <w:lang w:val="en-GB" w:bidi="lo-LA"/>
        </w:rPr>
        <w:t>The Government of Mali has ratified various international laws and conventions for the protection of women’s and girls’ rights, including the</w:t>
      </w:r>
      <w:r w:rsidR="002800A2">
        <w:rPr>
          <w:rFonts w:ascii="Arial" w:eastAsiaTheme="minorHAnsi" w:hAnsi="Arial" w:cs="Arial"/>
          <w:sz w:val="20"/>
          <w:szCs w:val="20"/>
          <w:lang w:val="en-GB" w:bidi="lo-LA"/>
        </w:rPr>
        <w:t xml:space="preserve"> Convention on the Elimination of all forms of Discriminations Against Women (CEDAW, 1985) and the</w:t>
      </w:r>
      <w:r w:rsidRPr="00DA6F37">
        <w:rPr>
          <w:rFonts w:ascii="Arial" w:eastAsiaTheme="minorHAnsi" w:hAnsi="Arial" w:cs="Arial"/>
          <w:sz w:val="20"/>
          <w:szCs w:val="20"/>
          <w:lang w:val="en-GB" w:bidi="lo-LA"/>
        </w:rPr>
        <w:t xml:space="preserve"> Protocol to the African Charter on Human and Peoples’ Rights on the Rights of Women in Africa (also referred to</w:t>
      </w:r>
      <w:r w:rsidR="00893C07">
        <w:rPr>
          <w:rFonts w:ascii="Arial" w:eastAsiaTheme="minorHAnsi" w:hAnsi="Arial" w:cs="Arial"/>
          <w:sz w:val="20"/>
          <w:szCs w:val="20"/>
          <w:lang w:val="en-GB" w:bidi="lo-LA"/>
        </w:rPr>
        <w:t xml:space="preserve"> as the Maputo Protocol) in 2004</w:t>
      </w:r>
      <w:r w:rsidRPr="00DA6F37">
        <w:rPr>
          <w:rFonts w:ascii="Arial" w:eastAsiaTheme="minorHAnsi" w:hAnsi="Arial" w:cs="Arial"/>
          <w:sz w:val="20"/>
          <w:szCs w:val="20"/>
          <w:lang w:val="en-GB" w:bidi="lo-LA"/>
        </w:rPr>
        <w:t>.</w:t>
      </w:r>
      <w:r w:rsidR="006119ED">
        <w:rPr>
          <w:rFonts w:ascii="Arial" w:eastAsiaTheme="minorHAnsi" w:hAnsi="Arial" w:cs="Arial"/>
          <w:sz w:val="20"/>
          <w:szCs w:val="20"/>
          <w:lang w:val="en-GB" w:bidi="lo-LA"/>
        </w:rPr>
        <w:t xml:space="preserve"> </w:t>
      </w:r>
      <w:r w:rsidR="002800A2" w:rsidRPr="002800A2">
        <w:rPr>
          <w:rFonts w:ascii="Arial" w:eastAsiaTheme="minorHAnsi" w:hAnsi="Arial" w:cs="Arial"/>
          <w:sz w:val="20"/>
          <w:szCs w:val="20"/>
          <w:lang w:val="en-GB" w:bidi="lo-LA"/>
        </w:rPr>
        <w:t>Mali also has a policy and legal framework conducive to the socio-economic development of women</w:t>
      </w:r>
      <w:r w:rsidR="00E771BF">
        <w:rPr>
          <w:rFonts w:ascii="Arial" w:eastAsiaTheme="minorHAnsi" w:hAnsi="Arial" w:cs="Arial"/>
          <w:sz w:val="20"/>
          <w:szCs w:val="20"/>
          <w:lang w:val="en-GB" w:bidi="lo-LA"/>
        </w:rPr>
        <w:t>,</w:t>
      </w:r>
      <w:r w:rsidR="00893C07">
        <w:rPr>
          <w:rFonts w:ascii="Arial" w:eastAsiaTheme="minorHAnsi" w:hAnsi="Arial" w:cs="Arial"/>
          <w:sz w:val="20"/>
          <w:szCs w:val="20"/>
          <w:lang w:val="en-GB" w:bidi="lo-LA"/>
        </w:rPr>
        <w:t xml:space="preserve"> including </w:t>
      </w:r>
      <w:r w:rsidR="00893C07" w:rsidRPr="00893C07">
        <w:rPr>
          <w:rFonts w:ascii="Arial" w:eastAsiaTheme="minorHAnsi" w:hAnsi="Arial" w:cs="Arial"/>
          <w:sz w:val="20"/>
          <w:szCs w:val="20"/>
          <w:lang w:val="en-GB" w:bidi="lo-LA"/>
        </w:rPr>
        <w:t>a National Gender Policy</w:t>
      </w:r>
      <w:r w:rsidR="00DC0DAC">
        <w:rPr>
          <w:rFonts w:ascii="Arial" w:eastAsiaTheme="minorHAnsi" w:hAnsi="Arial" w:cs="Arial"/>
          <w:sz w:val="20"/>
          <w:szCs w:val="20"/>
          <w:lang w:val="en-GB" w:bidi="lo-LA"/>
        </w:rPr>
        <w:t xml:space="preserve">. The National Gender Policy of Mali </w:t>
      </w:r>
      <w:r w:rsidR="00893C07" w:rsidRPr="00893C07">
        <w:rPr>
          <w:rFonts w:ascii="Arial" w:eastAsiaTheme="minorHAnsi" w:hAnsi="Arial" w:cs="Arial"/>
          <w:sz w:val="20"/>
          <w:szCs w:val="20"/>
          <w:lang w:val="en-GB" w:bidi="lo-LA"/>
        </w:rPr>
        <w:t>was adopted by the government on 24 November 2010 to implement the key gender-related recommendations and guidelines in the Growth and Poverty Reduction Strategy Programme (GPRSP)</w:t>
      </w:r>
      <w:r w:rsidR="00E771BF">
        <w:rPr>
          <w:rStyle w:val="EndnoteReference"/>
          <w:rFonts w:ascii="Arial" w:eastAsiaTheme="minorHAnsi" w:hAnsi="Arial" w:cs="Arial"/>
          <w:sz w:val="20"/>
          <w:szCs w:val="20"/>
          <w:lang w:val="en-GB" w:bidi="lo-LA"/>
        </w:rPr>
        <w:endnoteReference w:id="18"/>
      </w:r>
      <w:r w:rsidR="002800A2">
        <w:rPr>
          <w:rFonts w:ascii="Arial" w:eastAsiaTheme="minorHAnsi" w:hAnsi="Arial" w:cs="Arial"/>
          <w:sz w:val="20"/>
          <w:szCs w:val="20"/>
          <w:lang w:val="en-GB" w:bidi="lo-LA"/>
        </w:rPr>
        <w:t xml:space="preserve">. </w:t>
      </w:r>
      <w:r w:rsidR="006119ED" w:rsidRPr="006119ED">
        <w:rPr>
          <w:rFonts w:ascii="Arial" w:eastAsiaTheme="minorHAnsi" w:hAnsi="Arial" w:cs="Arial"/>
          <w:sz w:val="20"/>
          <w:szCs w:val="20"/>
          <w:lang w:val="en-GB" w:bidi="lo-LA"/>
        </w:rPr>
        <w:t xml:space="preserve">Despite these various government commitments, the protection and promotion of women and girls’ rights in Mali remains largely theoretical. </w:t>
      </w:r>
      <w:r w:rsidR="002D4F38">
        <w:rPr>
          <w:rFonts w:ascii="Arial" w:eastAsiaTheme="minorHAnsi" w:hAnsi="Arial" w:cs="Arial"/>
          <w:sz w:val="20"/>
          <w:szCs w:val="20"/>
          <w:lang w:val="en-GB" w:bidi="lo-LA"/>
        </w:rPr>
        <w:t xml:space="preserve">Social gender norms </w:t>
      </w:r>
      <w:r w:rsidR="006119ED" w:rsidRPr="00DA6F37">
        <w:rPr>
          <w:rFonts w:ascii="Arial" w:eastAsiaTheme="minorHAnsi" w:hAnsi="Arial" w:cs="Arial"/>
          <w:sz w:val="20"/>
          <w:szCs w:val="20"/>
          <w:lang w:val="en-GB" w:bidi="lo-LA"/>
        </w:rPr>
        <w:t>are highly inequitable and tend to maintain women in a position of inferiority to men. These inequalities affect several layers of the community and could be at the foundation of various inequitable practices with women an</w:t>
      </w:r>
      <w:r w:rsidR="002D4F38">
        <w:rPr>
          <w:rFonts w:ascii="Arial" w:eastAsiaTheme="minorHAnsi" w:hAnsi="Arial" w:cs="Arial"/>
          <w:sz w:val="20"/>
          <w:szCs w:val="20"/>
          <w:lang w:val="en-GB" w:bidi="lo-LA"/>
        </w:rPr>
        <w:t>d girls being the most impacted</w:t>
      </w:r>
      <w:r w:rsidR="002D4F38">
        <w:rPr>
          <w:rStyle w:val="EndnoteReference"/>
          <w:rFonts w:ascii="Arial" w:eastAsiaTheme="minorHAnsi" w:hAnsi="Arial" w:cs="Arial"/>
          <w:sz w:val="20"/>
          <w:szCs w:val="20"/>
          <w:lang w:val="en-GB" w:bidi="lo-LA"/>
        </w:rPr>
        <w:endnoteReference w:id="19"/>
      </w:r>
      <w:r w:rsidR="006119ED" w:rsidRPr="00DA6F37">
        <w:rPr>
          <w:rFonts w:ascii="Arial" w:eastAsiaTheme="minorHAnsi" w:hAnsi="Arial" w:cs="Arial"/>
          <w:sz w:val="20"/>
          <w:szCs w:val="20"/>
          <w:lang w:val="en-GB" w:bidi="lo-LA"/>
        </w:rPr>
        <w:t>.</w:t>
      </w:r>
      <w:r w:rsidR="000F6725">
        <w:rPr>
          <w:rFonts w:ascii="Arial" w:eastAsiaTheme="minorHAnsi" w:hAnsi="Arial" w:cs="Arial"/>
          <w:sz w:val="20"/>
          <w:szCs w:val="20"/>
          <w:lang w:val="en-GB" w:bidi="lo-LA"/>
        </w:rPr>
        <w:t xml:space="preserve"> </w:t>
      </w:r>
      <w:r w:rsidR="00B10773" w:rsidRPr="00B10773">
        <w:rPr>
          <w:rFonts w:ascii="Arial" w:eastAsiaTheme="minorHAnsi" w:hAnsi="Arial" w:cs="Arial"/>
          <w:sz w:val="20"/>
          <w:szCs w:val="20"/>
          <w:lang w:val="en-GB" w:bidi="lo-LA"/>
        </w:rPr>
        <w:t>Patriarchal</w:t>
      </w:r>
      <w:r w:rsidR="005F4E15" w:rsidRPr="00B10773">
        <w:rPr>
          <w:rFonts w:ascii="Arial" w:eastAsiaTheme="minorHAnsi" w:hAnsi="Arial" w:cs="Arial"/>
          <w:sz w:val="20"/>
          <w:szCs w:val="20"/>
          <w:lang w:val="en-GB" w:bidi="lo-LA"/>
        </w:rPr>
        <w:t xml:space="preserve"> </w:t>
      </w:r>
      <w:r w:rsidR="00B10773" w:rsidRPr="00B10773">
        <w:rPr>
          <w:rFonts w:ascii="Arial" w:eastAsiaTheme="minorHAnsi" w:hAnsi="Arial" w:cs="Arial"/>
          <w:sz w:val="20"/>
          <w:szCs w:val="20"/>
          <w:lang w:val="en-GB" w:bidi="lo-LA"/>
        </w:rPr>
        <w:t>behaviours</w:t>
      </w:r>
      <w:r w:rsidR="005F4E15" w:rsidRPr="00B10773">
        <w:rPr>
          <w:rFonts w:ascii="Arial" w:eastAsiaTheme="minorHAnsi" w:hAnsi="Arial" w:cs="Arial"/>
          <w:sz w:val="20"/>
          <w:szCs w:val="20"/>
          <w:lang w:val="en-GB" w:bidi="lo-LA"/>
        </w:rPr>
        <w:t xml:space="preserve"> </w:t>
      </w:r>
      <w:r w:rsidR="00B10773" w:rsidRPr="00B10773">
        <w:rPr>
          <w:rFonts w:ascii="Arial" w:eastAsiaTheme="minorHAnsi" w:hAnsi="Arial" w:cs="Arial"/>
          <w:sz w:val="20"/>
          <w:szCs w:val="20"/>
          <w:lang w:val="en-GB" w:bidi="lo-LA"/>
        </w:rPr>
        <w:t>are anchored in women</w:t>
      </w:r>
      <w:r w:rsidR="002A773B">
        <w:rPr>
          <w:rFonts w:ascii="Arial" w:eastAsiaTheme="minorHAnsi" w:hAnsi="Arial" w:cs="Arial"/>
          <w:sz w:val="20"/>
          <w:szCs w:val="20"/>
          <w:lang w:val="en-GB" w:bidi="lo-LA"/>
        </w:rPr>
        <w:t>’s opinion</w:t>
      </w:r>
      <w:r w:rsidR="00B10773" w:rsidRPr="00B10773">
        <w:rPr>
          <w:rFonts w:ascii="Arial" w:eastAsiaTheme="minorHAnsi" w:hAnsi="Arial" w:cs="Arial"/>
          <w:sz w:val="20"/>
          <w:szCs w:val="20"/>
          <w:lang w:val="en-GB" w:bidi="lo-LA"/>
        </w:rPr>
        <w:t xml:space="preserve"> on their own role within the family. </w:t>
      </w:r>
      <w:r w:rsidR="00B10773">
        <w:rPr>
          <w:rFonts w:ascii="Arial" w:eastAsiaTheme="minorHAnsi" w:hAnsi="Arial" w:cs="Arial"/>
          <w:sz w:val="20"/>
          <w:szCs w:val="20"/>
          <w:lang w:val="en-GB" w:bidi="lo-LA"/>
        </w:rPr>
        <w:t>About 75% of women and 58% of men admitted that the decisions within the household should be taken by the male chief</w:t>
      </w:r>
      <w:r w:rsidR="00B10773">
        <w:rPr>
          <w:rStyle w:val="EndnoteReference"/>
          <w:rFonts w:ascii="Arial" w:eastAsiaTheme="minorHAnsi" w:hAnsi="Arial" w:cs="Arial"/>
          <w:sz w:val="20"/>
          <w:szCs w:val="20"/>
          <w:lang w:val="en-GB" w:bidi="lo-LA"/>
        </w:rPr>
        <w:endnoteReference w:id="20"/>
      </w:r>
      <w:r w:rsidR="00B10773">
        <w:rPr>
          <w:rFonts w:ascii="Arial" w:eastAsiaTheme="minorHAnsi" w:hAnsi="Arial" w:cs="Arial"/>
          <w:sz w:val="20"/>
          <w:szCs w:val="20"/>
          <w:lang w:val="en-GB" w:bidi="lo-LA"/>
        </w:rPr>
        <w:t>.</w:t>
      </w:r>
      <w:r w:rsidR="00E02111">
        <w:rPr>
          <w:rFonts w:ascii="Arial" w:eastAsiaTheme="minorHAnsi" w:hAnsi="Arial" w:cs="Arial"/>
          <w:sz w:val="20"/>
          <w:szCs w:val="20"/>
          <w:lang w:val="en-GB" w:bidi="lo-LA"/>
        </w:rPr>
        <w:t xml:space="preserve"> </w:t>
      </w:r>
      <w:r w:rsidR="00E02111" w:rsidRPr="00DA6F37">
        <w:rPr>
          <w:rFonts w:ascii="Arial" w:eastAsiaTheme="minorHAnsi" w:hAnsi="Arial" w:cs="Arial"/>
          <w:sz w:val="20"/>
          <w:szCs w:val="20"/>
          <w:lang w:val="en-GB" w:bidi="lo-LA"/>
        </w:rPr>
        <w:t xml:space="preserve">This acceptance of gender inequality as normal and women’s inability to make decisions or claim </w:t>
      </w:r>
      <w:r w:rsidR="00DC0DAC">
        <w:rPr>
          <w:rFonts w:ascii="Arial" w:eastAsiaTheme="minorHAnsi" w:hAnsi="Arial" w:cs="Arial"/>
          <w:sz w:val="20"/>
          <w:szCs w:val="20"/>
          <w:lang w:val="en-GB" w:bidi="lo-LA"/>
        </w:rPr>
        <w:t>their rights lead to high rates of gender-</w:t>
      </w:r>
      <w:r w:rsidR="00E02111" w:rsidRPr="00DA6F37">
        <w:rPr>
          <w:rFonts w:ascii="Arial" w:eastAsiaTheme="minorHAnsi" w:hAnsi="Arial" w:cs="Arial"/>
          <w:sz w:val="20"/>
          <w:szCs w:val="20"/>
          <w:lang w:val="en-GB" w:bidi="lo-LA"/>
        </w:rPr>
        <w:t>based violence, poor representation of women in decision-making bodies, and low women’s access to and control over land.</w:t>
      </w:r>
      <w:r w:rsidR="00E02111">
        <w:rPr>
          <w:rFonts w:ascii="Arial" w:eastAsiaTheme="minorHAnsi" w:hAnsi="Arial" w:cs="Arial"/>
          <w:sz w:val="20"/>
          <w:szCs w:val="20"/>
          <w:lang w:val="en-GB" w:bidi="lo-LA"/>
        </w:rPr>
        <w:t xml:space="preserve"> Polygamy is also widely practiced </w:t>
      </w:r>
      <w:r w:rsidR="00E02111" w:rsidRPr="00DA6F37">
        <w:rPr>
          <w:rFonts w:ascii="Arial" w:eastAsiaTheme="minorHAnsi" w:hAnsi="Arial" w:cs="Arial"/>
          <w:sz w:val="20"/>
          <w:szCs w:val="20"/>
          <w:lang w:val="en-GB" w:bidi="lo-LA"/>
        </w:rPr>
        <w:t>and is legal un</w:t>
      </w:r>
      <w:r w:rsidR="00E02111">
        <w:rPr>
          <w:rFonts w:ascii="Arial" w:eastAsiaTheme="minorHAnsi" w:hAnsi="Arial" w:cs="Arial"/>
          <w:sz w:val="20"/>
          <w:szCs w:val="20"/>
          <w:lang w:val="en-GB" w:bidi="lo-LA"/>
        </w:rPr>
        <w:t>der the country’s Marriage Code</w:t>
      </w:r>
      <w:r w:rsidR="00E02111">
        <w:rPr>
          <w:rStyle w:val="EndnoteReference"/>
          <w:rFonts w:ascii="Arial" w:eastAsiaTheme="minorHAnsi" w:hAnsi="Arial" w:cs="Arial"/>
          <w:sz w:val="20"/>
          <w:szCs w:val="20"/>
          <w:lang w:val="en-GB" w:bidi="lo-LA"/>
        </w:rPr>
        <w:endnoteReference w:id="21"/>
      </w:r>
      <w:r w:rsidR="00E02111" w:rsidRPr="00DA6F37">
        <w:rPr>
          <w:rFonts w:ascii="Arial" w:eastAsiaTheme="minorHAnsi" w:hAnsi="Arial" w:cs="Arial"/>
          <w:sz w:val="20"/>
          <w:szCs w:val="20"/>
          <w:lang w:val="en-GB" w:bidi="lo-LA"/>
        </w:rPr>
        <w:t>.</w:t>
      </w:r>
    </w:p>
    <w:p w:rsidR="00E771BF" w:rsidRPr="00A10C2D" w:rsidRDefault="00E771BF" w:rsidP="001A7E32">
      <w:pPr>
        <w:jc w:val="both"/>
        <w:rPr>
          <w:rFonts w:ascii="Arial" w:hAnsi="Arial" w:cs="Arial"/>
          <w:sz w:val="20"/>
          <w:szCs w:val="20"/>
        </w:rPr>
      </w:pPr>
    </w:p>
    <w:p w:rsidR="001A7E32" w:rsidRPr="00DA6F37" w:rsidRDefault="002D1F0C" w:rsidP="001A7E32">
      <w:pPr>
        <w:jc w:val="both"/>
        <w:rPr>
          <w:rFonts w:ascii="Arial" w:eastAsiaTheme="minorHAnsi" w:hAnsi="Arial" w:cs="Arial"/>
          <w:sz w:val="20"/>
          <w:szCs w:val="20"/>
          <w:lang w:val="en-GB" w:bidi="lo-LA"/>
        </w:rPr>
      </w:pPr>
      <w:r w:rsidRPr="00412A88">
        <w:rPr>
          <w:rFonts w:ascii="Arial" w:eastAsiaTheme="minorHAnsi" w:hAnsi="Arial" w:cs="Arial"/>
          <w:b/>
          <w:sz w:val="20"/>
          <w:szCs w:val="20"/>
          <w:lang w:val="en-GB" w:bidi="lo-LA"/>
        </w:rPr>
        <w:t>Gender-based and domestic violence:</w:t>
      </w:r>
      <w:r w:rsidR="00DC0DAC">
        <w:rPr>
          <w:rFonts w:ascii="Arial" w:eastAsiaTheme="minorHAnsi" w:hAnsi="Arial" w:cs="Arial"/>
          <w:b/>
          <w:sz w:val="20"/>
          <w:szCs w:val="20"/>
          <w:lang w:val="en-GB" w:bidi="lo-LA"/>
        </w:rPr>
        <w:t xml:space="preserve"> </w:t>
      </w:r>
      <w:r w:rsidR="001A7E32" w:rsidRPr="00DA6F37">
        <w:rPr>
          <w:rFonts w:ascii="Arial" w:eastAsiaTheme="minorHAnsi" w:hAnsi="Arial" w:cs="Arial"/>
          <w:sz w:val="20"/>
          <w:szCs w:val="20"/>
          <w:lang w:val="en-GB" w:bidi="lo-LA"/>
        </w:rPr>
        <w:t xml:space="preserve">Traditional values and practices, and slow progress on human rights adherence </w:t>
      </w:r>
      <w:r w:rsidR="00DC0DAC">
        <w:rPr>
          <w:rFonts w:ascii="Arial" w:eastAsiaTheme="minorHAnsi" w:hAnsi="Arial" w:cs="Arial"/>
          <w:sz w:val="20"/>
          <w:szCs w:val="20"/>
          <w:lang w:val="en-GB" w:bidi="lo-LA"/>
        </w:rPr>
        <w:t>from the</w:t>
      </w:r>
      <w:r w:rsidR="001A7E32" w:rsidRPr="00DA6F37">
        <w:rPr>
          <w:rFonts w:ascii="Arial" w:eastAsiaTheme="minorHAnsi" w:hAnsi="Arial" w:cs="Arial"/>
          <w:sz w:val="20"/>
          <w:szCs w:val="20"/>
          <w:lang w:val="en-GB" w:bidi="lo-LA"/>
        </w:rPr>
        <w:t xml:space="preserve"> </w:t>
      </w:r>
      <w:r w:rsidR="00DC0DAC">
        <w:rPr>
          <w:rFonts w:ascii="Arial" w:eastAsiaTheme="minorHAnsi" w:hAnsi="Arial" w:cs="Arial"/>
          <w:sz w:val="20"/>
          <w:szCs w:val="20"/>
          <w:lang w:val="en-GB" w:bidi="lo-LA"/>
        </w:rPr>
        <w:t>G</w:t>
      </w:r>
      <w:r w:rsidR="001A7E32" w:rsidRPr="00DA6F37">
        <w:rPr>
          <w:rFonts w:ascii="Arial" w:eastAsiaTheme="minorHAnsi" w:hAnsi="Arial" w:cs="Arial"/>
          <w:sz w:val="20"/>
          <w:szCs w:val="20"/>
          <w:lang w:val="en-GB" w:bidi="lo-LA"/>
        </w:rPr>
        <w:t>overnment, religious institutions, and civil society create an environment in which gender relations rema</w:t>
      </w:r>
      <w:r w:rsidR="00DC0DAC">
        <w:rPr>
          <w:rFonts w:ascii="Arial" w:eastAsiaTheme="minorHAnsi" w:hAnsi="Arial" w:cs="Arial"/>
          <w:sz w:val="20"/>
          <w:szCs w:val="20"/>
          <w:lang w:val="en-GB" w:bidi="lo-LA"/>
        </w:rPr>
        <w:t>in deeply imbalanced and gender-</w:t>
      </w:r>
      <w:r w:rsidR="001A7E32" w:rsidRPr="00DA6F37">
        <w:rPr>
          <w:rFonts w:ascii="Arial" w:eastAsiaTheme="minorHAnsi" w:hAnsi="Arial" w:cs="Arial"/>
          <w:sz w:val="20"/>
          <w:szCs w:val="20"/>
          <w:lang w:val="en-GB" w:bidi="lo-LA"/>
        </w:rPr>
        <w:t xml:space="preserve">based violence is endemic. Furthermore, the various inter-communal and inter-group conflicts that have become imbedded in Malian society, the rapid population displacements since the political instability of 2012, and the lawlessness of parts of the North has led to increased violence against women and girls. 69% of women have experienced psychological violence and </w:t>
      </w:r>
      <w:r w:rsidR="000210BA">
        <w:rPr>
          <w:rFonts w:ascii="Arial" w:eastAsiaTheme="minorHAnsi" w:hAnsi="Arial" w:cs="Arial"/>
          <w:sz w:val="20"/>
          <w:szCs w:val="20"/>
          <w:lang w:val="en-GB" w:bidi="lo-LA"/>
        </w:rPr>
        <w:t>almost one woman out of two has</w:t>
      </w:r>
      <w:r w:rsidR="001A7E32" w:rsidRPr="00DA6F37">
        <w:rPr>
          <w:rFonts w:ascii="Arial" w:eastAsiaTheme="minorHAnsi" w:hAnsi="Arial" w:cs="Arial"/>
          <w:sz w:val="20"/>
          <w:szCs w:val="20"/>
          <w:lang w:val="en-GB" w:bidi="lo-LA"/>
        </w:rPr>
        <w:t xml:space="preserve"> experienced physical </w:t>
      </w:r>
      <w:r w:rsidR="000210BA">
        <w:rPr>
          <w:rFonts w:ascii="Arial" w:eastAsiaTheme="minorHAnsi" w:hAnsi="Arial" w:cs="Arial"/>
          <w:sz w:val="20"/>
          <w:szCs w:val="20"/>
          <w:lang w:val="en-GB" w:bidi="lo-LA"/>
        </w:rPr>
        <w:t xml:space="preserve">or sexual </w:t>
      </w:r>
      <w:r w:rsidR="001A7E32" w:rsidRPr="00DA6F37">
        <w:rPr>
          <w:rFonts w:ascii="Arial" w:eastAsiaTheme="minorHAnsi" w:hAnsi="Arial" w:cs="Arial"/>
          <w:sz w:val="20"/>
          <w:szCs w:val="20"/>
          <w:lang w:val="en-GB" w:bidi="lo-LA"/>
        </w:rPr>
        <w:t>violence</w:t>
      </w:r>
      <w:r w:rsidR="00225B1A">
        <w:rPr>
          <w:rStyle w:val="EndnoteReference"/>
          <w:rFonts w:ascii="Arial" w:eastAsiaTheme="minorHAnsi" w:hAnsi="Arial" w:cs="Arial"/>
          <w:sz w:val="20"/>
          <w:szCs w:val="20"/>
          <w:lang w:val="en-GB" w:bidi="lo-LA"/>
        </w:rPr>
        <w:endnoteReference w:id="22"/>
      </w:r>
      <w:r w:rsidR="001A7E32" w:rsidRPr="00DA6F37">
        <w:rPr>
          <w:rFonts w:ascii="Arial" w:eastAsiaTheme="minorHAnsi" w:hAnsi="Arial" w:cs="Arial"/>
          <w:sz w:val="20"/>
          <w:szCs w:val="20"/>
          <w:lang w:val="en-GB" w:bidi="lo-LA"/>
        </w:rPr>
        <w:t xml:space="preserve">. </w:t>
      </w:r>
      <w:r w:rsidR="005F4E15">
        <w:rPr>
          <w:rFonts w:ascii="Arial" w:eastAsiaTheme="minorHAnsi" w:hAnsi="Arial" w:cs="Arial"/>
          <w:sz w:val="20"/>
          <w:szCs w:val="20"/>
          <w:lang w:val="en-GB" w:bidi="lo-LA"/>
        </w:rPr>
        <w:t>Physical or sexual violence from spouse reached 34.6% in 2012-2013</w:t>
      </w:r>
      <w:r w:rsidR="005F4E15">
        <w:rPr>
          <w:rStyle w:val="EndnoteReference"/>
          <w:rFonts w:ascii="Arial" w:eastAsiaTheme="minorHAnsi" w:hAnsi="Arial" w:cs="Arial"/>
          <w:sz w:val="20"/>
          <w:szCs w:val="20"/>
          <w:lang w:val="en-GB" w:bidi="lo-LA"/>
        </w:rPr>
        <w:endnoteReference w:id="23"/>
      </w:r>
      <w:r w:rsidR="005F4E15">
        <w:rPr>
          <w:rFonts w:ascii="Arial" w:eastAsiaTheme="minorHAnsi" w:hAnsi="Arial" w:cs="Arial"/>
          <w:sz w:val="20"/>
          <w:szCs w:val="20"/>
          <w:lang w:val="en-GB" w:bidi="lo-LA"/>
        </w:rPr>
        <w:t xml:space="preserve">. </w:t>
      </w:r>
      <w:r w:rsidR="001A7E32" w:rsidRPr="00DA6F37">
        <w:rPr>
          <w:rFonts w:ascii="Arial" w:eastAsiaTheme="minorHAnsi" w:hAnsi="Arial" w:cs="Arial"/>
          <w:sz w:val="20"/>
          <w:szCs w:val="20"/>
          <w:lang w:val="en-GB" w:bidi="lo-LA"/>
        </w:rPr>
        <w:t>Women in Mali seldom report cases of domestic violence, particularly those in the rural a</w:t>
      </w:r>
      <w:r w:rsidR="00225B1A">
        <w:rPr>
          <w:rFonts w:ascii="Arial" w:eastAsiaTheme="minorHAnsi" w:hAnsi="Arial" w:cs="Arial"/>
          <w:sz w:val="20"/>
          <w:szCs w:val="20"/>
          <w:lang w:val="en-GB" w:bidi="lo-LA"/>
        </w:rPr>
        <w:t>nd peri-</w:t>
      </w:r>
      <w:r w:rsidR="001A7E32" w:rsidRPr="00DA6F37">
        <w:rPr>
          <w:rFonts w:ascii="Arial" w:eastAsiaTheme="minorHAnsi" w:hAnsi="Arial" w:cs="Arial"/>
          <w:sz w:val="20"/>
          <w:szCs w:val="20"/>
          <w:lang w:val="en-GB" w:bidi="lo-LA"/>
        </w:rPr>
        <w:t xml:space="preserve">urban areas. </w:t>
      </w:r>
      <w:r w:rsidR="005F4E15">
        <w:rPr>
          <w:rFonts w:ascii="Arial" w:eastAsiaTheme="minorHAnsi" w:hAnsi="Arial" w:cs="Arial"/>
          <w:sz w:val="20"/>
          <w:szCs w:val="20"/>
          <w:lang w:val="en-GB" w:bidi="lo-LA"/>
        </w:rPr>
        <w:t xml:space="preserve">The </w:t>
      </w:r>
      <w:r w:rsidR="000210BA">
        <w:rPr>
          <w:rFonts w:ascii="Arial" w:eastAsiaTheme="minorHAnsi" w:hAnsi="Arial" w:cs="Arial"/>
          <w:sz w:val="20"/>
          <w:szCs w:val="20"/>
          <w:lang w:val="en-GB" w:bidi="lo-LA"/>
        </w:rPr>
        <w:t>p</w:t>
      </w:r>
      <w:r w:rsidR="00BC69D1" w:rsidRPr="00BC69D1">
        <w:rPr>
          <w:rFonts w:ascii="Arial" w:eastAsiaTheme="minorHAnsi" w:hAnsi="Arial" w:cs="Arial"/>
          <w:sz w:val="20"/>
          <w:szCs w:val="20"/>
          <w:lang w:val="en-GB" w:bidi="lo-LA"/>
        </w:rPr>
        <w:t>ercentage of girls and women aged 15 to 49 years who have undergone F</w:t>
      </w:r>
      <w:r w:rsidR="00BC69D1">
        <w:rPr>
          <w:rFonts w:ascii="Arial" w:eastAsiaTheme="minorHAnsi" w:hAnsi="Arial" w:cs="Arial"/>
          <w:sz w:val="20"/>
          <w:szCs w:val="20"/>
          <w:lang w:val="en-GB" w:bidi="lo-LA"/>
        </w:rPr>
        <w:t xml:space="preserve">emale </w:t>
      </w:r>
      <w:r w:rsidR="00BC69D1" w:rsidRPr="00BC69D1">
        <w:rPr>
          <w:rFonts w:ascii="Arial" w:eastAsiaTheme="minorHAnsi" w:hAnsi="Arial" w:cs="Arial"/>
          <w:sz w:val="20"/>
          <w:szCs w:val="20"/>
          <w:lang w:val="en-GB" w:bidi="lo-LA"/>
        </w:rPr>
        <w:t>G</w:t>
      </w:r>
      <w:r w:rsidR="00BC69D1">
        <w:rPr>
          <w:rFonts w:ascii="Arial" w:eastAsiaTheme="minorHAnsi" w:hAnsi="Arial" w:cs="Arial"/>
          <w:sz w:val="20"/>
          <w:szCs w:val="20"/>
          <w:lang w:val="en-GB" w:bidi="lo-LA"/>
        </w:rPr>
        <w:t xml:space="preserve">enital </w:t>
      </w:r>
      <w:r w:rsidR="00BC69D1" w:rsidRPr="00BC69D1">
        <w:rPr>
          <w:rFonts w:ascii="Arial" w:eastAsiaTheme="minorHAnsi" w:hAnsi="Arial" w:cs="Arial"/>
          <w:sz w:val="20"/>
          <w:szCs w:val="20"/>
          <w:lang w:val="en-GB" w:bidi="lo-LA"/>
        </w:rPr>
        <w:t>M</w:t>
      </w:r>
      <w:r w:rsidR="00BC69D1">
        <w:rPr>
          <w:rFonts w:ascii="Arial" w:eastAsiaTheme="minorHAnsi" w:hAnsi="Arial" w:cs="Arial"/>
          <w:sz w:val="20"/>
          <w:szCs w:val="20"/>
          <w:lang w:val="en-GB" w:bidi="lo-LA"/>
        </w:rPr>
        <w:t>utilation</w:t>
      </w:r>
      <w:r w:rsidR="00BC69D1" w:rsidRPr="00BC69D1">
        <w:rPr>
          <w:rFonts w:ascii="Arial" w:eastAsiaTheme="minorHAnsi" w:hAnsi="Arial" w:cs="Arial"/>
          <w:sz w:val="20"/>
          <w:szCs w:val="20"/>
          <w:lang w:val="en-GB" w:bidi="lo-LA"/>
        </w:rPr>
        <w:t>/C</w:t>
      </w:r>
      <w:r w:rsidR="00BC69D1">
        <w:rPr>
          <w:rFonts w:ascii="Arial" w:eastAsiaTheme="minorHAnsi" w:hAnsi="Arial" w:cs="Arial"/>
          <w:sz w:val="20"/>
          <w:szCs w:val="20"/>
          <w:lang w:val="en-GB" w:bidi="lo-LA"/>
        </w:rPr>
        <w:t>utting</w:t>
      </w:r>
      <w:r w:rsidR="00BC69D1" w:rsidRPr="00BC69D1">
        <w:rPr>
          <w:rFonts w:ascii="Arial" w:eastAsiaTheme="minorHAnsi" w:hAnsi="Arial" w:cs="Arial"/>
          <w:sz w:val="20"/>
          <w:szCs w:val="20"/>
          <w:lang w:val="en-GB" w:bidi="lo-LA"/>
        </w:rPr>
        <w:t xml:space="preserve"> is estimated at 89% in Mali</w:t>
      </w:r>
      <w:r w:rsidR="005F4E15">
        <w:rPr>
          <w:rStyle w:val="EndnoteReference"/>
          <w:rFonts w:ascii="Arial" w:eastAsiaTheme="minorHAnsi" w:hAnsi="Arial" w:cs="Arial"/>
          <w:sz w:val="20"/>
          <w:szCs w:val="20"/>
          <w:lang w:val="en-GB" w:bidi="lo-LA"/>
        </w:rPr>
        <w:endnoteReference w:id="24"/>
      </w:r>
      <w:r w:rsidR="005F4E15">
        <w:rPr>
          <w:rFonts w:ascii="Arial" w:eastAsiaTheme="minorHAnsi" w:hAnsi="Arial" w:cs="Arial"/>
          <w:sz w:val="20"/>
          <w:szCs w:val="20"/>
          <w:lang w:val="en-GB" w:bidi="lo-LA"/>
        </w:rPr>
        <w:t xml:space="preserve">. </w:t>
      </w:r>
      <w:r w:rsidR="001A7E32" w:rsidRPr="00DA6F37">
        <w:rPr>
          <w:rFonts w:ascii="Arial" w:eastAsiaTheme="minorHAnsi" w:hAnsi="Arial" w:cs="Arial"/>
          <w:sz w:val="20"/>
          <w:szCs w:val="20"/>
          <w:lang w:val="en-GB" w:bidi="lo-LA"/>
        </w:rPr>
        <w:t>There is no specific law in Mali that crimi</w:t>
      </w:r>
      <w:r w:rsidR="005F4E15">
        <w:rPr>
          <w:rFonts w:ascii="Arial" w:eastAsiaTheme="minorHAnsi" w:hAnsi="Arial" w:cs="Arial"/>
          <w:sz w:val="20"/>
          <w:szCs w:val="20"/>
          <w:lang w:val="en-GB" w:bidi="lo-LA"/>
        </w:rPr>
        <w:t xml:space="preserve">nalizes violence against women. </w:t>
      </w:r>
      <w:r w:rsidR="00C93DB2">
        <w:rPr>
          <w:rFonts w:ascii="Arial" w:eastAsiaTheme="minorHAnsi" w:hAnsi="Arial" w:cs="Arial"/>
          <w:sz w:val="20"/>
          <w:szCs w:val="20"/>
          <w:lang w:val="en-GB" w:bidi="lo-LA"/>
        </w:rPr>
        <w:t>M</w:t>
      </w:r>
      <w:r w:rsidR="00C93DB2" w:rsidRPr="00C93DB2">
        <w:rPr>
          <w:rFonts w:ascii="Arial" w:eastAsiaTheme="minorHAnsi" w:hAnsi="Arial" w:cs="Arial"/>
          <w:sz w:val="20"/>
          <w:szCs w:val="20"/>
          <w:lang w:val="en-GB" w:bidi="lo-LA"/>
        </w:rPr>
        <w:t xml:space="preserve">ali has </w:t>
      </w:r>
      <w:r w:rsidR="000210BA">
        <w:rPr>
          <w:rFonts w:ascii="Arial" w:eastAsiaTheme="minorHAnsi" w:hAnsi="Arial" w:cs="Arial"/>
          <w:sz w:val="20"/>
          <w:szCs w:val="20"/>
          <w:lang w:val="en-GB" w:bidi="lo-LA"/>
        </w:rPr>
        <w:t xml:space="preserve">also </w:t>
      </w:r>
      <w:r w:rsidR="00C93DB2" w:rsidRPr="00C93DB2">
        <w:rPr>
          <w:rFonts w:ascii="Arial" w:eastAsiaTheme="minorHAnsi" w:hAnsi="Arial" w:cs="Arial"/>
          <w:sz w:val="20"/>
          <w:szCs w:val="20"/>
          <w:lang w:val="en-GB" w:bidi="lo-LA"/>
        </w:rPr>
        <w:t>one of the highest child marriage</w:t>
      </w:r>
      <w:r w:rsidR="000210BA">
        <w:rPr>
          <w:rFonts w:ascii="Arial" w:eastAsiaTheme="minorHAnsi" w:hAnsi="Arial" w:cs="Arial"/>
          <w:sz w:val="20"/>
          <w:szCs w:val="20"/>
          <w:lang w:val="en-GB" w:bidi="lo-LA"/>
        </w:rPr>
        <w:t xml:space="preserve"> prevalence rates in the world; o</w:t>
      </w:r>
      <w:r w:rsidR="00C93DB2" w:rsidRPr="00C93DB2">
        <w:rPr>
          <w:rFonts w:ascii="Arial" w:eastAsiaTheme="minorHAnsi" w:hAnsi="Arial" w:cs="Arial"/>
          <w:sz w:val="20"/>
          <w:szCs w:val="20"/>
          <w:lang w:val="en-GB" w:bidi="lo-LA"/>
        </w:rPr>
        <w:t>n average, one out of two girls will be</w:t>
      </w:r>
      <w:r w:rsidR="00C93DB2">
        <w:rPr>
          <w:rFonts w:ascii="Arial" w:eastAsiaTheme="minorHAnsi" w:hAnsi="Arial" w:cs="Arial"/>
          <w:sz w:val="20"/>
          <w:szCs w:val="20"/>
          <w:lang w:val="en-GB" w:bidi="lo-LA"/>
        </w:rPr>
        <w:t xml:space="preserve"> married by their 18</w:t>
      </w:r>
      <w:r w:rsidR="00C93DB2" w:rsidRPr="00C93DB2">
        <w:rPr>
          <w:rFonts w:ascii="Arial" w:eastAsiaTheme="minorHAnsi" w:hAnsi="Arial" w:cs="Arial"/>
          <w:sz w:val="20"/>
          <w:szCs w:val="20"/>
          <w:vertAlign w:val="superscript"/>
          <w:lang w:val="en-GB" w:bidi="lo-LA"/>
        </w:rPr>
        <w:t>th</w:t>
      </w:r>
      <w:r w:rsidR="00C93DB2">
        <w:rPr>
          <w:rFonts w:ascii="Arial" w:eastAsiaTheme="minorHAnsi" w:hAnsi="Arial" w:cs="Arial"/>
          <w:sz w:val="20"/>
          <w:szCs w:val="20"/>
          <w:lang w:val="en-GB" w:bidi="lo-LA"/>
        </w:rPr>
        <w:t xml:space="preserve"> birthday</w:t>
      </w:r>
      <w:r w:rsidR="005F4E15">
        <w:rPr>
          <w:rStyle w:val="EndnoteReference"/>
          <w:rFonts w:ascii="Arial" w:eastAsiaTheme="minorHAnsi" w:hAnsi="Arial" w:cs="Arial"/>
          <w:sz w:val="20"/>
          <w:szCs w:val="20"/>
          <w:lang w:val="en-GB" w:bidi="lo-LA"/>
        </w:rPr>
        <w:endnoteReference w:id="25"/>
      </w:r>
      <w:r w:rsidR="001A7E32" w:rsidRPr="00DA6F37">
        <w:rPr>
          <w:rFonts w:ascii="Arial" w:eastAsiaTheme="minorHAnsi" w:hAnsi="Arial" w:cs="Arial"/>
          <w:sz w:val="20"/>
          <w:szCs w:val="20"/>
          <w:lang w:val="en-GB" w:bidi="lo-LA"/>
        </w:rPr>
        <w:t xml:space="preserve">. </w:t>
      </w:r>
    </w:p>
    <w:p w:rsidR="001A7E32" w:rsidRDefault="001A7E32" w:rsidP="002D1F0C">
      <w:pPr>
        <w:jc w:val="both"/>
        <w:rPr>
          <w:rFonts w:ascii="Arial" w:eastAsiaTheme="minorHAnsi" w:hAnsi="Arial" w:cs="Arial"/>
          <w:b/>
          <w:sz w:val="20"/>
          <w:szCs w:val="20"/>
          <w:lang w:val="en-GB" w:bidi="lo-LA"/>
        </w:rPr>
      </w:pPr>
    </w:p>
    <w:p w:rsidR="002D1F0C" w:rsidRDefault="002D1F0C" w:rsidP="002D1F0C">
      <w:pPr>
        <w:jc w:val="both"/>
        <w:rPr>
          <w:rFonts w:ascii="Arial" w:eastAsiaTheme="minorHAnsi" w:hAnsi="Arial" w:cs="Arial"/>
          <w:sz w:val="20"/>
          <w:szCs w:val="20"/>
          <w:lang w:val="en-GB" w:bidi="lo-LA"/>
        </w:rPr>
      </w:pPr>
      <w:r>
        <w:rPr>
          <w:rFonts w:ascii="Arial" w:eastAsiaTheme="minorHAnsi" w:hAnsi="Arial" w:cs="Arial"/>
          <w:b/>
          <w:sz w:val="20"/>
          <w:szCs w:val="20"/>
          <w:lang w:val="en-GB" w:bidi="lo-LA"/>
        </w:rPr>
        <w:t>Gender in emergencies:</w:t>
      </w:r>
      <w:r w:rsidR="00F421D4">
        <w:rPr>
          <w:rFonts w:ascii="Arial" w:eastAsiaTheme="minorHAnsi" w:hAnsi="Arial" w:cs="Arial"/>
          <w:b/>
          <w:sz w:val="20"/>
          <w:szCs w:val="20"/>
          <w:lang w:val="en-GB" w:bidi="lo-LA"/>
        </w:rPr>
        <w:t xml:space="preserve"> </w:t>
      </w:r>
      <w:r w:rsidR="00F421D4" w:rsidRPr="00F421D4">
        <w:rPr>
          <w:rFonts w:ascii="Arial" w:eastAsiaTheme="minorHAnsi" w:hAnsi="Arial" w:cs="Arial"/>
          <w:sz w:val="20"/>
          <w:szCs w:val="20"/>
          <w:lang w:val="en-GB" w:bidi="lo-LA"/>
        </w:rPr>
        <w:t>Many schools</w:t>
      </w:r>
      <w:r w:rsidR="00F421D4">
        <w:rPr>
          <w:rFonts w:ascii="Arial" w:eastAsiaTheme="minorHAnsi" w:hAnsi="Arial" w:cs="Arial"/>
          <w:b/>
          <w:sz w:val="20"/>
          <w:szCs w:val="20"/>
          <w:lang w:val="en-GB" w:bidi="lo-LA"/>
        </w:rPr>
        <w:t xml:space="preserve"> </w:t>
      </w:r>
      <w:r w:rsidR="00F421D4" w:rsidRPr="00F421D4">
        <w:rPr>
          <w:rFonts w:ascii="Arial" w:eastAsiaTheme="minorHAnsi" w:hAnsi="Arial" w:cs="Arial"/>
          <w:sz w:val="20"/>
          <w:szCs w:val="20"/>
          <w:lang w:val="en-GB" w:bidi="lo-LA"/>
        </w:rPr>
        <w:t>throughout the north</w:t>
      </w:r>
      <w:r w:rsidR="00F421D4">
        <w:rPr>
          <w:rFonts w:ascii="Arial" w:eastAsiaTheme="minorHAnsi" w:hAnsi="Arial" w:cs="Arial"/>
          <w:sz w:val="20"/>
          <w:szCs w:val="20"/>
          <w:lang w:val="en-GB" w:bidi="lo-LA"/>
        </w:rPr>
        <w:t xml:space="preserve"> of Mali</w:t>
      </w:r>
      <w:r w:rsidR="00F421D4" w:rsidRPr="00F421D4">
        <w:rPr>
          <w:rFonts w:ascii="Arial" w:eastAsiaTheme="minorHAnsi" w:hAnsi="Arial" w:cs="Arial"/>
          <w:sz w:val="20"/>
          <w:szCs w:val="20"/>
          <w:lang w:val="en-GB" w:bidi="lo-LA"/>
        </w:rPr>
        <w:t xml:space="preserve"> are closed, either entirely or closed to girls</w:t>
      </w:r>
      <w:r w:rsidR="00AB4AD9">
        <w:rPr>
          <w:rFonts w:ascii="Arial" w:eastAsiaTheme="minorHAnsi" w:hAnsi="Arial" w:cs="Arial"/>
          <w:sz w:val="20"/>
          <w:szCs w:val="20"/>
          <w:lang w:val="en-GB" w:bidi="lo-LA"/>
        </w:rPr>
        <w:t xml:space="preserve"> because of the conflicts</w:t>
      </w:r>
      <w:r w:rsidR="00F421D4" w:rsidRPr="00F421D4">
        <w:rPr>
          <w:rFonts w:ascii="Arial" w:eastAsiaTheme="minorHAnsi" w:hAnsi="Arial" w:cs="Arial"/>
          <w:sz w:val="20"/>
          <w:szCs w:val="20"/>
          <w:lang w:val="en-GB" w:bidi="lo-LA"/>
        </w:rPr>
        <w:t>. The imposition of Sharia law by armed Islamist forces has robbed girls and women of their human rights and exposed them to physical and mental abuse. Young boys are equally vulnerable, as targets of forced recruitment or pressure to become martyrs in a cause they do not share</w:t>
      </w:r>
      <w:r w:rsidR="00F421D4">
        <w:rPr>
          <w:rFonts w:ascii="Arial" w:eastAsiaTheme="minorHAnsi" w:hAnsi="Arial" w:cs="Arial"/>
          <w:sz w:val="20"/>
          <w:szCs w:val="20"/>
          <w:lang w:val="en-GB" w:bidi="lo-LA"/>
        </w:rPr>
        <w:t xml:space="preserve">. The challenge is to </w:t>
      </w:r>
      <w:r w:rsidR="00F421D4" w:rsidRPr="00F421D4">
        <w:rPr>
          <w:rFonts w:ascii="Arial" w:eastAsiaTheme="minorHAnsi" w:hAnsi="Arial" w:cs="Arial"/>
          <w:sz w:val="20"/>
          <w:szCs w:val="20"/>
          <w:lang w:val="en-GB" w:bidi="lo-LA"/>
        </w:rPr>
        <w:t xml:space="preserve">respond to the food and nutrition crisis, as well as </w:t>
      </w:r>
      <w:r w:rsidR="00AB4AD9">
        <w:rPr>
          <w:rFonts w:ascii="Arial" w:eastAsiaTheme="minorHAnsi" w:hAnsi="Arial" w:cs="Arial"/>
          <w:sz w:val="20"/>
          <w:szCs w:val="20"/>
          <w:lang w:val="en-GB" w:bidi="lo-LA"/>
        </w:rPr>
        <w:t xml:space="preserve">to </w:t>
      </w:r>
      <w:r w:rsidR="00F421D4" w:rsidRPr="00F421D4">
        <w:rPr>
          <w:rFonts w:ascii="Arial" w:eastAsiaTheme="minorHAnsi" w:hAnsi="Arial" w:cs="Arial"/>
          <w:sz w:val="20"/>
          <w:szCs w:val="20"/>
          <w:lang w:val="en-GB" w:bidi="lo-LA"/>
        </w:rPr>
        <w:t>ensure the maintenance of basic social services and the protection of women and children in the context of an es</w:t>
      </w:r>
      <w:r w:rsidR="00AB4AD9">
        <w:rPr>
          <w:rFonts w:ascii="Arial" w:eastAsiaTheme="minorHAnsi" w:hAnsi="Arial" w:cs="Arial"/>
          <w:sz w:val="20"/>
          <w:szCs w:val="20"/>
          <w:lang w:val="en-GB" w:bidi="lo-LA"/>
        </w:rPr>
        <w:t>calation in the conflict</w:t>
      </w:r>
      <w:bookmarkStart w:id="0" w:name="_GoBack"/>
      <w:bookmarkEnd w:id="0"/>
      <w:r w:rsidR="00F421D4" w:rsidRPr="00F421D4">
        <w:rPr>
          <w:rFonts w:ascii="Arial" w:eastAsiaTheme="minorHAnsi" w:hAnsi="Arial" w:cs="Arial"/>
          <w:sz w:val="20"/>
          <w:szCs w:val="20"/>
          <w:lang w:val="en-GB" w:bidi="lo-LA"/>
        </w:rPr>
        <w:t xml:space="preserve"> and increased flows</w:t>
      </w:r>
      <w:r w:rsidR="00F421D4">
        <w:rPr>
          <w:rFonts w:ascii="Arial" w:eastAsiaTheme="minorHAnsi" w:hAnsi="Arial" w:cs="Arial"/>
          <w:sz w:val="20"/>
          <w:szCs w:val="20"/>
          <w:lang w:val="en-GB" w:bidi="lo-LA"/>
        </w:rPr>
        <w:t xml:space="preserve"> of internally displaced people</w:t>
      </w:r>
      <w:r w:rsidR="00F421D4">
        <w:rPr>
          <w:rStyle w:val="EndnoteReference"/>
          <w:rFonts w:ascii="Arial" w:eastAsiaTheme="minorHAnsi" w:hAnsi="Arial" w:cs="Arial"/>
          <w:sz w:val="20"/>
          <w:szCs w:val="20"/>
          <w:lang w:val="en-GB" w:bidi="lo-LA"/>
        </w:rPr>
        <w:endnoteReference w:id="26"/>
      </w:r>
      <w:r w:rsidR="00F421D4" w:rsidRPr="00F421D4">
        <w:rPr>
          <w:rFonts w:ascii="Arial" w:eastAsiaTheme="minorHAnsi" w:hAnsi="Arial" w:cs="Arial"/>
          <w:sz w:val="20"/>
          <w:szCs w:val="20"/>
          <w:lang w:val="en-GB" w:bidi="lo-LA"/>
        </w:rPr>
        <w:t>.</w:t>
      </w:r>
    </w:p>
    <w:p w:rsidR="00B834B0" w:rsidRDefault="00B834B0" w:rsidP="002D1F0C">
      <w:pPr>
        <w:jc w:val="both"/>
        <w:rPr>
          <w:rFonts w:ascii="Arial" w:eastAsiaTheme="minorHAnsi" w:hAnsi="Arial" w:cs="Arial"/>
          <w:sz w:val="20"/>
          <w:szCs w:val="20"/>
          <w:lang w:val="en-GB" w:bidi="lo-LA"/>
        </w:rPr>
      </w:pPr>
    </w:p>
    <w:sectPr w:rsidR="00B834B0" w:rsidSect="00FC7931">
      <w:footerReference w:type="default" r:id="rId8"/>
      <w:headerReference w:type="first" r:id="rId9"/>
      <w:footerReference w:type="first" r:id="rId10"/>
      <w:type w:val="continuous"/>
      <w:pgSz w:w="11906" w:h="16838"/>
      <w:pgMar w:top="851" w:right="964" w:bottom="794" w:left="964" w:header="0" w:footer="5" w:gutter="0"/>
      <w:cols w:space="708"/>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E159FD" w:rsidRDefault="00E159FD" w:rsidP="00860F86">
      <w:r>
        <w:separator/>
      </w:r>
    </w:p>
  </w:endnote>
  <w:endnote w:type="continuationSeparator" w:id="1">
    <w:p w:rsidR="00E159FD" w:rsidRDefault="00E159FD" w:rsidP="00860F86">
      <w:r>
        <w:continuationSeparator/>
      </w:r>
    </w:p>
  </w:endnote>
  <w:endnote w:id="2">
    <w:p w:rsidR="00DA6F37" w:rsidRPr="00DA6F37" w:rsidRDefault="00DA6F37" w:rsidP="005E1059">
      <w:pPr>
        <w:pStyle w:val="EndnoteText"/>
        <w:jc w:val="both"/>
        <w:rPr>
          <w:lang w:val="fr-FR"/>
        </w:rPr>
      </w:pPr>
      <w:r>
        <w:rPr>
          <w:rStyle w:val="EndnoteReference"/>
        </w:rPr>
        <w:endnoteRef/>
      </w:r>
      <w:r w:rsidRPr="00DA6F37">
        <w:rPr>
          <w:lang w:val="fr-FR"/>
        </w:rPr>
        <w:t xml:space="preserve"> </w:t>
      </w:r>
      <w:r w:rsidRPr="00DA6F37">
        <w:rPr>
          <w:rFonts w:ascii="Arial" w:eastAsiaTheme="minorHAnsi" w:hAnsi="Arial" w:cs="Arial"/>
          <w:sz w:val="16"/>
          <w:lang w:val="fr-FR" w:bidi="lo-LA"/>
        </w:rPr>
        <w:t xml:space="preserve">Programme National de Lutte contre le Paludisme Ministère de la Santé Publique et de l'Hygiène Publique, 2016, </w:t>
      </w:r>
      <w:r w:rsidRPr="00DA6F37">
        <w:rPr>
          <w:rFonts w:ascii="Arial" w:eastAsiaTheme="minorHAnsi" w:hAnsi="Arial" w:cs="Arial"/>
          <w:i/>
          <w:sz w:val="16"/>
          <w:lang w:val="fr-FR" w:bidi="lo-LA"/>
        </w:rPr>
        <w:t>Enquête sur les Indicateurs du Paludisme (EIPM) 2015</w:t>
      </w:r>
      <w:r w:rsidRPr="00DA6F37">
        <w:rPr>
          <w:rFonts w:ascii="Arial" w:eastAsiaTheme="minorHAnsi" w:hAnsi="Arial" w:cs="Arial"/>
          <w:sz w:val="16"/>
          <w:lang w:val="fr-FR" w:bidi="lo-LA"/>
        </w:rPr>
        <w:t>.</w:t>
      </w:r>
    </w:p>
  </w:endnote>
  <w:endnote w:id="3">
    <w:p w:rsidR="00DA6F37" w:rsidRPr="005E1059" w:rsidRDefault="00DA6F37" w:rsidP="005E1059">
      <w:pPr>
        <w:pStyle w:val="EndnoteText"/>
        <w:jc w:val="both"/>
        <w:rPr>
          <w:lang w:val="fr-FR"/>
        </w:rPr>
      </w:pPr>
      <w:r>
        <w:rPr>
          <w:rStyle w:val="EndnoteReference"/>
        </w:rPr>
        <w:endnoteRef/>
      </w:r>
      <w:r w:rsidRPr="005E1059">
        <w:rPr>
          <w:lang w:val="fr-FR"/>
        </w:rPr>
        <w:t xml:space="preserve"> </w:t>
      </w:r>
      <w:r w:rsidRPr="005E1059">
        <w:rPr>
          <w:rFonts w:ascii="Arial" w:eastAsiaTheme="minorHAnsi" w:hAnsi="Arial" w:cs="Arial"/>
          <w:sz w:val="16"/>
          <w:lang w:val="fr-FR" w:bidi="lo-LA"/>
        </w:rPr>
        <w:t>Demographic and Health Survey,</w:t>
      </w:r>
      <w:r w:rsidR="005E1059" w:rsidRPr="005E1059">
        <w:rPr>
          <w:rFonts w:ascii="Arial" w:eastAsiaTheme="minorHAnsi" w:hAnsi="Arial" w:cs="Arial"/>
          <w:sz w:val="16"/>
          <w:lang w:val="fr-FR" w:bidi="lo-LA"/>
        </w:rPr>
        <w:t xml:space="preserve"> 2014,</w:t>
      </w:r>
      <w:r w:rsidRPr="005E1059">
        <w:rPr>
          <w:rFonts w:ascii="Arial" w:eastAsiaTheme="minorHAnsi" w:hAnsi="Arial" w:cs="Arial"/>
          <w:sz w:val="16"/>
          <w:lang w:val="fr-FR" w:bidi="lo-LA"/>
        </w:rPr>
        <w:t xml:space="preserve"> </w:t>
      </w:r>
      <w:r w:rsidR="005E1059" w:rsidRPr="005E1059">
        <w:rPr>
          <w:rFonts w:ascii="Arial" w:eastAsiaTheme="minorHAnsi" w:hAnsi="Arial" w:cs="Arial"/>
          <w:i/>
          <w:sz w:val="16"/>
          <w:lang w:val="fr-FR" w:bidi="lo-LA"/>
        </w:rPr>
        <w:t>Mali Enquête Démographique et de Santé (EDSM-V)</w:t>
      </w:r>
      <w:r w:rsidR="005E1059">
        <w:rPr>
          <w:rFonts w:ascii="Arial" w:eastAsiaTheme="minorHAnsi" w:hAnsi="Arial" w:cs="Arial"/>
          <w:i/>
          <w:sz w:val="16"/>
          <w:lang w:val="fr-FR" w:bidi="lo-LA"/>
        </w:rPr>
        <w:t xml:space="preserve"> </w:t>
      </w:r>
      <w:r w:rsidR="005E1059" w:rsidRPr="005E1059">
        <w:rPr>
          <w:rFonts w:ascii="Arial" w:eastAsiaTheme="minorHAnsi" w:hAnsi="Arial" w:cs="Arial"/>
          <w:i/>
          <w:sz w:val="16"/>
          <w:lang w:val="fr-FR" w:bidi="lo-LA"/>
        </w:rPr>
        <w:t>2012-2013</w:t>
      </w:r>
      <w:r w:rsidR="005E1059">
        <w:rPr>
          <w:rFonts w:ascii="Arial" w:eastAsiaTheme="minorHAnsi" w:hAnsi="Arial" w:cs="Arial"/>
          <w:sz w:val="16"/>
          <w:lang w:val="fr-FR" w:bidi="lo-LA"/>
        </w:rPr>
        <w:t>.</w:t>
      </w:r>
    </w:p>
  </w:endnote>
  <w:endnote w:id="4">
    <w:p w:rsidR="0072434E" w:rsidRPr="0072434E" w:rsidRDefault="0072434E" w:rsidP="005E1059">
      <w:pPr>
        <w:pStyle w:val="EndnoteText"/>
        <w:jc w:val="both"/>
        <w:rPr>
          <w:lang w:val="fr-FR"/>
        </w:rPr>
      </w:pPr>
      <w:r>
        <w:rPr>
          <w:rStyle w:val="EndnoteReference"/>
        </w:rPr>
        <w:endnoteRef/>
      </w:r>
      <w:r w:rsidRPr="0072434E">
        <w:rPr>
          <w:lang w:val="fr-FR"/>
        </w:rPr>
        <w:t xml:space="preserve"> </w:t>
      </w:r>
      <w:r w:rsidR="0048106D">
        <w:rPr>
          <w:rFonts w:ascii="Arial" w:eastAsiaTheme="minorHAnsi" w:hAnsi="Arial" w:cs="Arial"/>
          <w:sz w:val="16"/>
          <w:lang w:val="fr-FR" w:bidi="lo-LA"/>
        </w:rPr>
        <w:t>Institut Nat</w:t>
      </w:r>
      <w:r w:rsidR="005E1059">
        <w:rPr>
          <w:rFonts w:ascii="Arial" w:eastAsiaTheme="minorHAnsi" w:hAnsi="Arial" w:cs="Arial"/>
          <w:sz w:val="16"/>
          <w:lang w:val="fr-FR" w:bidi="lo-LA"/>
        </w:rPr>
        <w:t>ional de la Statistique du Mali, 2014,</w:t>
      </w:r>
      <w:r w:rsidR="0048106D">
        <w:rPr>
          <w:rFonts w:ascii="Arial" w:eastAsiaTheme="minorHAnsi" w:hAnsi="Arial" w:cs="Arial"/>
          <w:sz w:val="16"/>
          <w:lang w:val="fr-FR" w:bidi="lo-LA"/>
        </w:rPr>
        <w:t xml:space="preserve"> </w:t>
      </w:r>
      <w:r w:rsidR="0048106D" w:rsidRPr="0048106D">
        <w:rPr>
          <w:rFonts w:ascii="Arial" w:eastAsiaTheme="minorHAnsi" w:hAnsi="Arial" w:cs="Arial"/>
          <w:i/>
          <w:sz w:val="16"/>
          <w:lang w:val="fr-FR" w:bidi="lo-LA"/>
        </w:rPr>
        <w:t>Enquête modulaire et permanente auprès des ménages</w:t>
      </w:r>
      <w:r w:rsidR="0048106D">
        <w:rPr>
          <w:rFonts w:ascii="Arial" w:eastAsiaTheme="minorHAnsi" w:hAnsi="Arial" w:cs="Arial"/>
          <w:sz w:val="16"/>
          <w:lang w:val="fr-FR" w:bidi="lo-LA"/>
        </w:rPr>
        <w:t xml:space="preserve"> </w:t>
      </w:r>
      <w:r w:rsidR="0048106D" w:rsidRPr="005E1059">
        <w:rPr>
          <w:rFonts w:ascii="Arial" w:eastAsiaTheme="minorHAnsi" w:hAnsi="Arial" w:cs="Arial"/>
          <w:i/>
          <w:sz w:val="16"/>
          <w:lang w:val="fr-FR" w:bidi="lo-LA"/>
        </w:rPr>
        <w:t>(EMOP)</w:t>
      </w:r>
      <w:r w:rsidRPr="00DA6F37">
        <w:rPr>
          <w:rFonts w:ascii="Arial" w:eastAsiaTheme="minorHAnsi" w:hAnsi="Arial" w:cs="Arial"/>
          <w:sz w:val="16"/>
          <w:lang w:val="fr-FR" w:bidi="lo-LA"/>
        </w:rPr>
        <w:t>.</w:t>
      </w:r>
    </w:p>
  </w:endnote>
  <w:endnote w:id="5">
    <w:p w:rsidR="0072434E" w:rsidRPr="0048106D" w:rsidRDefault="0072434E" w:rsidP="005E1059">
      <w:pPr>
        <w:pStyle w:val="EndnoteText"/>
        <w:jc w:val="both"/>
        <w:rPr>
          <w:lang w:val="fr-FR"/>
        </w:rPr>
      </w:pPr>
      <w:r>
        <w:rPr>
          <w:rStyle w:val="EndnoteReference"/>
        </w:rPr>
        <w:endnoteRef/>
      </w:r>
      <w:r w:rsidRPr="0048106D">
        <w:rPr>
          <w:lang w:val="fr-FR"/>
        </w:rPr>
        <w:t xml:space="preserve"> </w:t>
      </w:r>
      <w:r w:rsidR="00BC69D1">
        <w:rPr>
          <w:rFonts w:ascii="Arial" w:eastAsiaTheme="minorHAnsi" w:hAnsi="Arial" w:cs="Arial"/>
          <w:sz w:val="16"/>
          <w:lang w:val="fr-FR" w:bidi="lo-LA"/>
        </w:rPr>
        <w:t>CARE USA, 2013,</w:t>
      </w:r>
      <w:r w:rsidR="003014C8" w:rsidRPr="003014C8">
        <w:rPr>
          <w:rFonts w:ascii="Arial" w:eastAsiaTheme="minorHAnsi" w:hAnsi="Arial" w:cs="Arial"/>
          <w:sz w:val="16"/>
          <w:lang w:val="fr-FR" w:bidi="lo-LA"/>
        </w:rPr>
        <w:t xml:space="preserve"> </w:t>
      </w:r>
      <w:r w:rsidR="003014C8" w:rsidRPr="00BC69D1">
        <w:rPr>
          <w:rFonts w:ascii="Arial" w:eastAsiaTheme="minorHAnsi" w:hAnsi="Arial" w:cs="Arial"/>
          <w:i/>
          <w:sz w:val="16"/>
          <w:lang w:val="fr-FR" w:bidi="lo-LA"/>
        </w:rPr>
        <w:t>Pathways to Empowerment – Résumé du rapport de base Conclusions du MALI</w:t>
      </w:r>
      <w:r w:rsidR="00BC69D1">
        <w:rPr>
          <w:rFonts w:ascii="Arial" w:eastAsiaTheme="minorHAnsi" w:hAnsi="Arial" w:cs="Arial"/>
          <w:sz w:val="16"/>
          <w:lang w:val="fr-FR" w:bidi="lo-LA"/>
        </w:rPr>
        <w:t>.</w:t>
      </w:r>
    </w:p>
  </w:endnote>
  <w:endnote w:id="6">
    <w:p w:rsidR="00B8220D" w:rsidRPr="00B8220D" w:rsidRDefault="00B8220D" w:rsidP="005E1059">
      <w:pPr>
        <w:pStyle w:val="EndnoteText"/>
        <w:jc w:val="both"/>
        <w:rPr>
          <w:lang w:val="fr-FR"/>
        </w:rPr>
      </w:pPr>
      <w:r>
        <w:rPr>
          <w:rStyle w:val="EndnoteReference"/>
        </w:rPr>
        <w:endnoteRef/>
      </w:r>
      <w:r w:rsidRPr="00B8220D">
        <w:rPr>
          <w:lang w:val="fr-FR"/>
        </w:rPr>
        <w:t xml:space="preserve"> </w:t>
      </w:r>
      <w:r>
        <w:rPr>
          <w:lang w:val="fr-FR"/>
        </w:rPr>
        <w:t>Ibid</w:t>
      </w:r>
    </w:p>
  </w:endnote>
  <w:endnote w:id="7">
    <w:p w:rsidR="0072434E" w:rsidRPr="0072434E" w:rsidRDefault="0072434E" w:rsidP="005E1059">
      <w:pPr>
        <w:pStyle w:val="EndnoteText"/>
        <w:jc w:val="both"/>
        <w:rPr>
          <w:lang w:val="fr-FR"/>
        </w:rPr>
      </w:pPr>
      <w:r>
        <w:rPr>
          <w:rStyle w:val="EndnoteReference"/>
        </w:rPr>
        <w:endnoteRef/>
      </w:r>
      <w:r w:rsidRPr="0072434E">
        <w:rPr>
          <w:lang w:val="fr-FR"/>
        </w:rPr>
        <w:t xml:space="preserve"> </w:t>
      </w:r>
      <w:r w:rsidR="00BC69D1">
        <w:rPr>
          <w:rFonts w:ascii="Arial" w:eastAsiaTheme="minorHAnsi" w:hAnsi="Arial" w:cs="Arial"/>
          <w:sz w:val="16"/>
          <w:lang w:val="fr-FR" w:bidi="lo-LA"/>
        </w:rPr>
        <w:t xml:space="preserve">Banque Mondiale, </w:t>
      </w:r>
      <w:r w:rsidRPr="0072434E">
        <w:rPr>
          <w:rFonts w:ascii="Arial" w:eastAsiaTheme="minorHAnsi" w:hAnsi="Arial" w:cs="Arial"/>
          <w:sz w:val="16"/>
          <w:lang w:val="fr-FR" w:bidi="lo-LA"/>
        </w:rPr>
        <w:t>2015</w:t>
      </w:r>
      <w:r w:rsidR="00BC69D1">
        <w:rPr>
          <w:rFonts w:eastAsiaTheme="minorHAnsi"/>
          <w:sz w:val="16"/>
          <w:lang w:val="fr-FR" w:bidi="lo-LA"/>
        </w:rPr>
        <w:t>,</w:t>
      </w:r>
      <w:r w:rsidRPr="0072434E">
        <w:rPr>
          <w:rFonts w:eastAsiaTheme="minorHAnsi"/>
          <w:sz w:val="16"/>
          <w:lang w:val="fr-FR" w:bidi="lo-LA"/>
        </w:rPr>
        <w:t xml:space="preserve"> </w:t>
      </w:r>
      <w:r w:rsidRPr="00BC69D1">
        <w:rPr>
          <w:rFonts w:ascii="Arial" w:eastAsiaTheme="minorHAnsi" w:hAnsi="Arial" w:cs="Arial"/>
          <w:i/>
          <w:sz w:val="16"/>
          <w:lang w:val="fr-FR" w:bidi="lo-LA"/>
        </w:rPr>
        <w:t>Niveaux et tendances en matière de mortalité maternelle et infantile,</w:t>
      </w:r>
      <w:r w:rsidRPr="00BC69D1">
        <w:rPr>
          <w:rFonts w:eastAsiaTheme="minorHAnsi"/>
          <w:i/>
          <w:sz w:val="16"/>
          <w:lang w:val="fr-FR" w:bidi="lo-LA"/>
        </w:rPr>
        <w:t> </w:t>
      </w:r>
      <w:r w:rsidRPr="00BC69D1">
        <w:rPr>
          <w:rFonts w:ascii="Arial" w:eastAsiaTheme="minorHAnsi" w:hAnsi="Arial" w:cs="Arial"/>
          <w:i/>
          <w:sz w:val="16"/>
          <w:lang w:val="fr-FR" w:bidi="lo-LA"/>
        </w:rPr>
        <w:t>Mali</w:t>
      </w:r>
      <w:r>
        <w:rPr>
          <w:rFonts w:eastAsiaTheme="minorHAnsi"/>
          <w:sz w:val="16"/>
          <w:lang w:val="fr-FR" w:bidi="lo-LA"/>
        </w:rPr>
        <w:t>.</w:t>
      </w:r>
      <w:r w:rsidRPr="0072434E">
        <w:rPr>
          <w:rStyle w:val="apple-converted-space"/>
          <w:rFonts w:ascii="Arial" w:hAnsi="Arial" w:cs="Arial"/>
          <w:color w:val="81878C"/>
          <w:shd w:val="clear" w:color="auto" w:fill="F2F3F6"/>
          <w:lang w:val="fr-FR"/>
        </w:rPr>
        <w:t xml:space="preserve"> </w:t>
      </w:r>
    </w:p>
  </w:endnote>
  <w:endnote w:id="8">
    <w:p w:rsidR="00DD6FCC" w:rsidRPr="00DD6FCC" w:rsidRDefault="00DD6FCC">
      <w:pPr>
        <w:pStyle w:val="EndnoteText"/>
        <w:rPr>
          <w:rFonts w:ascii="Arial" w:eastAsiaTheme="minorHAnsi" w:hAnsi="Arial" w:cs="Arial"/>
          <w:sz w:val="16"/>
          <w:lang w:val="fr-FR" w:bidi="lo-LA"/>
        </w:rPr>
      </w:pPr>
      <w:r>
        <w:rPr>
          <w:rStyle w:val="EndnoteReference"/>
        </w:rPr>
        <w:endnoteRef/>
      </w:r>
      <w:r w:rsidRPr="00DD6FCC">
        <w:rPr>
          <w:lang w:val="en-AU"/>
        </w:rPr>
        <w:t xml:space="preserve"> </w:t>
      </w:r>
      <w:r w:rsidRPr="00494AE9">
        <w:rPr>
          <w:rFonts w:ascii="Arial" w:eastAsiaTheme="minorHAnsi" w:hAnsi="Arial" w:cs="Arial"/>
          <w:sz w:val="16"/>
          <w:lang w:val="en-AU" w:bidi="lo-LA"/>
        </w:rPr>
        <w:t xml:space="preserve">USAID, 2014, </w:t>
      </w:r>
      <w:r w:rsidRPr="00494AE9">
        <w:rPr>
          <w:rFonts w:ascii="Arial" w:eastAsiaTheme="minorHAnsi" w:hAnsi="Arial" w:cs="Arial"/>
          <w:i/>
          <w:sz w:val="16"/>
          <w:lang w:val="en-AU" w:bidi="lo-LA"/>
        </w:rPr>
        <w:t>Gender-Based Violence (GBV) in Mali Factsheet</w:t>
      </w:r>
      <w:r w:rsidRPr="00494AE9">
        <w:rPr>
          <w:rFonts w:ascii="Arial" w:eastAsiaTheme="minorHAnsi" w:hAnsi="Arial" w:cs="Arial"/>
          <w:sz w:val="16"/>
          <w:lang w:val="en-AU" w:bidi="lo-LA"/>
        </w:rPr>
        <w:t xml:space="preserve">. </w:t>
      </w:r>
      <w:r w:rsidRPr="00DD6FCC">
        <w:rPr>
          <w:rFonts w:ascii="Arial" w:eastAsiaTheme="minorHAnsi" w:hAnsi="Arial" w:cs="Arial"/>
          <w:sz w:val="16"/>
          <w:lang w:val="fr-FR" w:bidi="lo-LA"/>
        </w:rPr>
        <w:t>Data from 2012/2013 Demographic Health Survey DHS.</w:t>
      </w:r>
    </w:p>
  </w:endnote>
  <w:endnote w:id="9">
    <w:p w:rsidR="003523D7" w:rsidRPr="003523D7" w:rsidRDefault="003523D7" w:rsidP="005E1059">
      <w:pPr>
        <w:pStyle w:val="EndnoteText"/>
        <w:jc w:val="both"/>
        <w:rPr>
          <w:lang w:val="fr-FR"/>
        </w:rPr>
      </w:pPr>
      <w:r>
        <w:rPr>
          <w:rStyle w:val="EndnoteReference"/>
        </w:rPr>
        <w:endnoteRef/>
      </w:r>
      <w:r w:rsidRPr="003523D7">
        <w:rPr>
          <w:lang w:val="fr-FR"/>
        </w:rPr>
        <w:t xml:space="preserve"> </w:t>
      </w:r>
      <w:r>
        <w:rPr>
          <w:rFonts w:ascii="Arial" w:eastAsiaTheme="minorHAnsi" w:hAnsi="Arial" w:cs="Arial"/>
          <w:sz w:val="16"/>
          <w:lang w:val="fr-FR" w:bidi="lo-LA"/>
        </w:rPr>
        <w:t>Institut Nati</w:t>
      </w:r>
      <w:r w:rsidR="00BC69D1">
        <w:rPr>
          <w:rFonts w:ascii="Arial" w:eastAsiaTheme="minorHAnsi" w:hAnsi="Arial" w:cs="Arial"/>
          <w:sz w:val="16"/>
          <w:lang w:val="fr-FR" w:bidi="lo-LA"/>
        </w:rPr>
        <w:t>onal de la Statistique du Mali, 2014,</w:t>
      </w:r>
      <w:r>
        <w:rPr>
          <w:rFonts w:ascii="Arial" w:eastAsiaTheme="minorHAnsi" w:hAnsi="Arial" w:cs="Arial"/>
          <w:sz w:val="16"/>
          <w:lang w:val="fr-FR" w:bidi="lo-LA"/>
        </w:rPr>
        <w:t xml:space="preserve"> </w:t>
      </w:r>
      <w:r w:rsidRPr="0048106D">
        <w:rPr>
          <w:rFonts w:ascii="Arial" w:eastAsiaTheme="minorHAnsi" w:hAnsi="Arial" w:cs="Arial"/>
          <w:i/>
          <w:sz w:val="16"/>
          <w:lang w:val="fr-FR" w:bidi="lo-LA"/>
        </w:rPr>
        <w:t>Enquête modulaire et permanente auprès des ménages</w:t>
      </w:r>
      <w:r>
        <w:rPr>
          <w:rFonts w:ascii="Arial" w:eastAsiaTheme="minorHAnsi" w:hAnsi="Arial" w:cs="Arial"/>
          <w:sz w:val="16"/>
          <w:lang w:val="fr-FR" w:bidi="lo-LA"/>
        </w:rPr>
        <w:t xml:space="preserve"> </w:t>
      </w:r>
      <w:r w:rsidRPr="00BC69D1">
        <w:rPr>
          <w:rFonts w:ascii="Arial" w:eastAsiaTheme="minorHAnsi" w:hAnsi="Arial" w:cs="Arial"/>
          <w:i/>
          <w:sz w:val="16"/>
          <w:lang w:val="fr-FR" w:bidi="lo-LA"/>
        </w:rPr>
        <w:t>(EMOP)</w:t>
      </w:r>
      <w:r w:rsidRPr="00DA6F37">
        <w:rPr>
          <w:rFonts w:ascii="Arial" w:eastAsiaTheme="minorHAnsi" w:hAnsi="Arial" w:cs="Arial"/>
          <w:sz w:val="16"/>
          <w:lang w:val="fr-FR" w:bidi="lo-LA"/>
        </w:rPr>
        <w:t>.</w:t>
      </w:r>
    </w:p>
  </w:endnote>
  <w:endnote w:id="10">
    <w:p w:rsidR="00E02111" w:rsidRPr="001510A4" w:rsidRDefault="00E02111" w:rsidP="005E1059">
      <w:pPr>
        <w:pStyle w:val="EndnoteText"/>
        <w:jc w:val="both"/>
      </w:pPr>
      <w:r>
        <w:rPr>
          <w:rStyle w:val="EndnoteReference"/>
        </w:rPr>
        <w:endnoteRef/>
      </w:r>
      <w:r w:rsidR="00BC69D1">
        <w:t xml:space="preserve"> </w:t>
      </w:r>
      <w:r w:rsidR="00BC69D1" w:rsidRPr="00BC69D1">
        <w:rPr>
          <w:rFonts w:ascii="Arial" w:eastAsiaTheme="minorHAnsi" w:hAnsi="Arial" w:cs="Arial"/>
          <w:sz w:val="16"/>
          <w:lang w:val="en-AU" w:bidi="lo-LA"/>
        </w:rPr>
        <w:t>International Knowledge Network of Women in Politics,</w:t>
      </w:r>
      <w:r w:rsidR="00BC69D1">
        <w:rPr>
          <w:rFonts w:ascii="Arial" w:eastAsiaTheme="minorHAnsi" w:hAnsi="Arial" w:cs="Arial"/>
          <w:sz w:val="16"/>
          <w:lang w:val="en-AU" w:bidi="lo-LA"/>
        </w:rPr>
        <w:t xml:space="preserve"> 2013,</w:t>
      </w:r>
      <w:r w:rsidR="00BC69D1" w:rsidRPr="00BC69D1">
        <w:rPr>
          <w:rFonts w:ascii="Arial" w:eastAsiaTheme="minorHAnsi" w:hAnsi="Arial" w:cs="Arial"/>
          <w:sz w:val="16"/>
          <w:lang w:val="en-AU" w:bidi="lo-LA"/>
        </w:rPr>
        <w:t xml:space="preserve"> Legislative elections in Mali, </w:t>
      </w:r>
      <w:r w:rsidRPr="00BC69D1">
        <w:rPr>
          <w:rFonts w:ascii="Arial" w:eastAsiaTheme="minorHAnsi" w:hAnsi="Arial" w:cs="Arial"/>
          <w:sz w:val="16"/>
          <w:lang w:val="en-AU" w:bidi="lo-LA"/>
        </w:rPr>
        <w:t xml:space="preserve">Retrieved from </w:t>
      </w:r>
      <w:hyperlink r:id="rId1" w:history="1">
        <w:r w:rsidR="00BC69D1" w:rsidRPr="007C10D1">
          <w:rPr>
            <w:rStyle w:val="Hyperlink"/>
            <w:rFonts w:ascii="Arial" w:eastAsiaTheme="minorHAnsi" w:hAnsi="Arial" w:cs="Arial"/>
            <w:sz w:val="16"/>
            <w:lang w:val="en-AU" w:bidi="lo-LA"/>
          </w:rPr>
          <w:t>http://iknowpolitics.org/en/news-events/calendar/legislative-elections-mali</w:t>
        </w:r>
      </w:hyperlink>
      <w:r w:rsidR="00BC69D1">
        <w:rPr>
          <w:rFonts w:ascii="Arial" w:eastAsiaTheme="minorHAnsi" w:hAnsi="Arial" w:cs="Arial"/>
          <w:sz w:val="16"/>
          <w:lang w:val="en-AU" w:bidi="lo-LA"/>
        </w:rPr>
        <w:t xml:space="preserve"> </w:t>
      </w:r>
    </w:p>
  </w:endnote>
  <w:endnote w:id="11">
    <w:p w:rsidR="00546968" w:rsidRPr="00546968" w:rsidRDefault="00546968">
      <w:pPr>
        <w:pStyle w:val="EndnoteText"/>
        <w:rPr>
          <w:lang w:val="en-AU"/>
        </w:rPr>
      </w:pPr>
      <w:r>
        <w:rPr>
          <w:rStyle w:val="EndnoteReference"/>
        </w:rPr>
        <w:endnoteRef/>
      </w:r>
      <w:r w:rsidRPr="00546968">
        <w:rPr>
          <w:lang w:val="en-AU"/>
        </w:rPr>
        <w:t xml:space="preserve"> </w:t>
      </w:r>
      <w:r w:rsidRPr="00546968">
        <w:rPr>
          <w:rFonts w:ascii="Arial" w:eastAsiaTheme="minorHAnsi" w:hAnsi="Arial" w:cs="Arial"/>
          <w:sz w:val="16"/>
          <w:lang w:val="fr-FR" w:bidi="lo-LA"/>
        </w:rPr>
        <w:t xml:space="preserve">CARE, 2013, </w:t>
      </w:r>
      <w:r w:rsidRPr="00546968">
        <w:rPr>
          <w:rFonts w:ascii="Arial" w:eastAsiaTheme="minorHAnsi" w:hAnsi="Arial" w:cs="Arial"/>
          <w:i/>
          <w:sz w:val="16"/>
          <w:lang w:val="fr-FR" w:bidi="lo-LA"/>
        </w:rPr>
        <w:t>Men, Gender Equality and Gender Relations in Mali, Findings from the International Men and Gender Equality Survey</w:t>
      </w:r>
      <w:r w:rsidRPr="00546968">
        <w:rPr>
          <w:rFonts w:ascii="Arial" w:eastAsiaTheme="minorHAnsi" w:hAnsi="Arial" w:cs="Arial"/>
          <w:sz w:val="16"/>
          <w:lang w:val="fr-FR" w:bidi="lo-LA"/>
        </w:rPr>
        <w:t>.</w:t>
      </w:r>
    </w:p>
  </w:endnote>
  <w:endnote w:id="12">
    <w:p w:rsidR="00B8220D" w:rsidRPr="00B8220D" w:rsidRDefault="00B8220D" w:rsidP="005E1059">
      <w:pPr>
        <w:pStyle w:val="EndnoteText"/>
        <w:jc w:val="both"/>
        <w:rPr>
          <w:lang w:val="fr-FR"/>
        </w:rPr>
      </w:pPr>
      <w:r>
        <w:rPr>
          <w:rStyle w:val="EndnoteReference"/>
        </w:rPr>
        <w:endnoteRef/>
      </w:r>
      <w:r w:rsidRPr="00B8220D">
        <w:rPr>
          <w:lang w:val="fr-FR"/>
        </w:rPr>
        <w:t xml:space="preserve"> </w:t>
      </w:r>
      <w:r w:rsidR="00BC69D1">
        <w:rPr>
          <w:rFonts w:ascii="Arial" w:eastAsiaTheme="minorHAnsi" w:hAnsi="Arial" w:cs="Arial"/>
          <w:sz w:val="16"/>
          <w:lang w:val="fr-FR" w:bidi="lo-LA"/>
        </w:rPr>
        <w:t>CARE USA, 2013,</w:t>
      </w:r>
      <w:r w:rsidR="00BC69D1" w:rsidRPr="003014C8">
        <w:rPr>
          <w:rFonts w:ascii="Arial" w:eastAsiaTheme="minorHAnsi" w:hAnsi="Arial" w:cs="Arial"/>
          <w:sz w:val="16"/>
          <w:lang w:val="fr-FR" w:bidi="lo-LA"/>
        </w:rPr>
        <w:t xml:space="preserve"> </w:t>
      </w:r>
      <w:r w:rsidR="00BC69D1" w:rsidRPr="00BC69D1">
        <w:rPr>
          <w:rFonts w:ascii="Arial" w:eastAsiaTheme="minorHAnsi" w:hAnsi="Arial" w:cs="Arial"/>
          <w:i/>
          <w:sz w:val="16"/>
          <w:lang w:val="fr-FR" w:bidi="lo-LA"/>
        </w:rPr>
        <w:t>Pathways to Empowerment – Résumé du rapport de base Conclusions du MALI</w:t>
      </w:r>
      <w:r w:rsidR="00BC69D1">
        <w:rPr>
          <w:rFonts w:ascii="Arial" w:eastAsiaTheme="minorHAnsi" w:hAnsi="Arial" w:cs="Arial"/>
          <w:sz w:val="16"/>
          <w:lang w:val="fr-FR" w:bidi="lo-LA"/>
        </w:rPr>
        <w:t>.</w:t>
      </w:r>
    </w:p>
  </w:endnote>
  <w:endnote w:id="13">
    <w:p w:rsidR="008102E3" w:rsidRPr="00BC69D1" w:rsidRDefault="008102E3" w:rsidP="005E1059">
      <w:pPr>
        <w:pStyle w:val="EndnoteText"/>
        <w:jc w:val="both"/>
        <w:rPr>
          <w:lang w:val="en-AU"/>
        </w:rPr>
      </w:pPr>
      <w:r>
        <w:rPr>
          <w:rStyle w:val="EndnoteReference"/>
        </w:rPr>
        <w:endnoteRef/>
      </w:r>
      <w:r w:rsidRPr="00BC69D1">
        <w:rPr>
          <w:lang w:val="en-AU"/>
        </w:rPr>
        <w:t xml:space="preserve"> </w:t>
      </w:r>
      <w:r w:rsidR="00BC69D1" w:rsidRPr="00BC69D1">
        <w:rPr>
          <w:rFonts w:ascii="Arial" w:eastAsiaTheme="minorHAnsi" w:hAnsi="Arial" w:cs="Arial"/>
          <w:sz w:val="16"/>
          <w:lang w:val="en-AU" w:bidi="lo-LA"/>
        </w:rPr>
        <w:t>Ibid</w:t>
      </w:r>
    </w:p>
  </w:endnote>
  <w:endnote w:id="14">
    <w:p w:rsidR="001A224D" w:rsidRPr="001A224D" w:rsidRDefault="001A224D">
      <w:pPr>
        <w:pStyle w:val="EndnoteText"/>
        <w:rPr>
          <w:lang w:val="en-AU"/>
        </w:rPr>
      </w:pPr>
      <w:r>
        <w:rPr>
          <w:rStyle w:val="EndnoteReference"/>
        </w:rPr>
        <w:endnoteRef/>
      </w:r>
      <w:r>
        <w:t xml:space="preserve"> </w:t>
      </w:r>
      <w:r w:rsidRPr="001A224D">
        <w:rPr>
          <w:rFonts w:ascii="Arial" w:eastAsiaTheme="minorHAnsi" w:hAnsi="Arial" w:cs="Arial"/>
          <w:sz w:val="16"/>
          <w:lang w:val="en-AU" w:bidi="lo-LA"/>
        </w:rPr>
        <w:t xml:space="preserve">CARE, 2013, </w:t>
      </w:r>
      <w:r w:rsidRPr="001A224D">
        <w:rPr>
          <w:rFonts w:ascii="Arial" w:eastAsiaTheme="minorHAnsi" w:hAnsi="Arial" w:cs="Arial"/>
          <w:i/>
          <w:sz w:val="16"/>
          <w:lang w:val="en-AU" w:bidi="lo-LA"/>
        </w:rPr>
        <w:t>Men, Gender Equality and Gender Relations in Mali, Findings from the International Men and Gender Equality Survey</w:t>
      </w:r>
      <w:r w:rsidRPr="001A224D">
        <w:rPr>
          <w:rFonts w:ascii="Arial" w:eastAsiaTheme="minorHAnsi" w:hAnsi="Arial" w:cs="Arial"/>
          <w:sz w:val="16"/>
          <w:lang w:val="en-AU" w:bidi="lo-LA"/>
        </w:rPr>
        <w:t>.</w:t>
      </w:r>
    </w:p>
  </w:endnote>
  <w:endnote w:id="15">
    <w:p w:rsidR="002A773B" w:rsidRPr="001A224D" w:rsidRDefault="002A773B" w:rsidP="005E1059">
      <w:pPr>
        <w:pStyle w:val="EndnoteText"/>
        <w:jc w:val="both"/>
        <w:rPr>
          <w:lang w:val="fr-FR"/>
        </w:rPr>
      </w:pPr>
      <w:r>
        <w:rPr>
          <w:rStyle w:val="EndnoteReference"/>
        </w:rPr>
        <w:endnoteRef/>
      </w:r>
      <w:r w:rsidRPr="001A224D">
        <w:rPr>
          <w:lang w:val="fr-FR"/>
        </w:rPr>
        <w:t xml:space="preserve"> </w:t>
      </w:r>
      <w:r w:rsidR="001A224D">
        <w:rPr>
          <w:rFonts w:ascii="Arial" w:eastAsiaTheme="minorHAnsi" w:hAnsi="Arial" w:cs="Arial"/>
          <w:sz w:val="16"/>
          <w:lang w:val="fr-FR" w:bidi="lo-LA"/>
        </w:rPr>
        <w:t>CARE USA, 2013,</w:t>
      </w:r>
      <w:r w:rsidR="001A224D" w:rsidRPr="003014C8">
        <w:rPr>
          <w:rFonts w:ascii="Arial" w:eastAsiaTheme="minorHAnsi" w:hAnsi="Arial" w:cs="Arial"/>
          <w:sz w:val="16"/>
          <w:lang w:val="fr-FR" w:bidi="lo-LA"/>
        </w:rPr>
        <w:t xml:space="preserve"> </w:t>
      </w:r>
      <w:r w:rsidR="001A224D" w:rsidRPr="00BC69D1">
        <w:rPr>
          <w:rFonts w:ascii="Arial" w:eastAsiaTheme="minorHAnsi" w:hAnsi="Arial" w:cs="Arial"/>
          <w:i/>
          <w:sz w:val="16"/>
          <w:lang w:val="fr-FR" w:bidi="lo-LA"/>
        </w:rPr>
        <w:t>Pathways to Empowerment – Résumé du rapport de base Conclusions du MALI</w:t>
      </w:r>
      <w:r w:rsidR="001A224D">
        <w:rPr>
          <w:rFonts w:ascii="Arial" w:eastAsiaTheme="minorHAnsi" w:hAnsi="Arial" w:cs="Arial"/>
          <w:sz w:val="16"/>
          <w:lang w:val="fr-FR" w:bidi="lo-LA"/>
        </w:rPr>
        <w:t>.</w:t>
      </w:r>
    </w:p>
  </w:endnote>
  <w:endnote w:id="16">
    <w:p w:rsidR="007C74E9" w:rsidRPr="00BC69D1" w:rsidRDefault="007C74E9" w:rsidP="00BC69D1">
      <w:pPr>
        <w:pStyle w:val="EndnoteText"/>
        <w:jc w:val="both"/>
        <w:rPr>
          <w:lang w:val="fr-FR"/>
        </w:rPr>
      </w:pPr>
      <w:r>
        <w:rPr>
          <w:rStyle w:val="EndnoteReference"/>
        </w:rPr>
        <w:endnoteRef/>
      </w:r>
      <w:r w:rsidRPr="00BC69D1">
        <w:rPr>
          <w:lang w:val="fr-FR"/>
        </w:rPr>
        <w:t xml:space="preserve"> </w:t>
      </w:r>
      <w:r w:rsidRPr="00BC69D1">
        <w:rPr>
          <w:rFonts w:ascii="Arial" w:eastAsiaTheme="minorHAnsi" w:hAnsi="Arial" w:cs="Arial"/>
          <w:sz w:val="16"/>
          <w:lang w:val="fr-FR" w:bidi="lo-LA"/>
        </w:rPr>
        <w:t>UNICEF</w:t>
      </w:r>
      <w:r w:rsidR="00BC69D1" w:rsidRPr="00BC69D1">
        <w:rPr>
          <w:rFonts w:ascii="Arial" w:eastAsiaTheme="minorHAnsi" w:hAnsi="Arial" w:cs="Arial"/>
          <w:sz w:val="16"/>
          <w:lang w:val="fr-FR" w:bidi="lo-LA"/>
        </w:rPr>
        <w:t>,</w:t>
      </w:r>
      <w:r w:rsidRPr="00BC69D1">
        <w:rPr>
          <w:rFonts w:ascii="Arial" w:eastAsiaTheme="minorHAnsi" w:hAnsi="Arial" w:cs="Arial"/>
          <w:sz w:val="16"/>
          <w:lang w:val="fr-FR" w:bidi="lo-LA"/>
        </w:rPr>
        <w:t xml:space="preserve"> </w:t>
      </w:r>
      <w:r w:rsidR="00BC69D1" w:rsidRPr="00BC69D1">
        <w:rPr>
          <w:rFonts w:ascii="Arial" w:eastAsiaTheme="minorHAnsi" w:hAnsi="Arial" w:cs="Arial"/>
          <w:sz w:val="16"/>
          <w:lang w:val="fr-FR" w:bidi="lo-LA"/>
        </w:rPr>
        <w:t xml:space="preserve">2016, </w:t>
      </w:r>
      <w:r w:rsidRPr="00BC69D1">
        <w:rPr>
          <w:rFonts w:ascii="Arial" w:eastAsiaTheme="minorHAnsi" w:hAnsi="Arial" w:cs="Arial"/>
          <w:sz w:val="16"/>
          <w:lang w:val="fr-FR" w:bidi="lo-LA"/>
        </w:rPr>
        <w:t>Statistics Mali</w:t>
      </w:r>
      <w:r w:rsidR="00BC69D1" w:rsidRPr="00BC69D1">
        <w:rPr>
          <w:rFonts w:ascii="Arial" w:eastAsiaTheme="minorHAnsi" w:hAnsi="Arial" w:cs="Arial"/>
          <w:sz w:val="16"/>
          <w:lang w:val="fr-FR" w:bidi="lo-LA"/>
        </w:rPr>
        <w:t xml:space="preserve"> 2008-2012.</w:t>
      </w:r>
    </w:p>
  </w:endnote>
  <w:endnote w:id="17">
    <w:p w:rsidR="002F2408" w:rsidRPr="002F2408" w:rsidRDefault="002F2408" w:rsidP="005E1059">
      <w:pPr>
        <w:pStyle w:val="EndnoteText"/>
        <w:jc w:val="both"/>
        <w:rPr>
          <w:lang w:val="fr-FR"/>
        </w:rPr>
      </w:pPr>
      <w:r>
        <w:rPr>
          <w:rStyle w:val="EndnoteReference"/>
        </w:rPr>
        <w:endnoteRef/>
      </w:r>
      <w:r w:rsidRPr="002F2408">
        <w:rPr>
          <w:lang w:val="fr-FR"/>
        </w:rPr>
        <w:t xml:space="preserve"> </w:t>
      </w:r>
      <w:r w:rsidR="00BC69D1">
        <w:rPr>
          <w:rFonts w:ascii="Arial" w:eastAsiaTheme="minorHAnsi" w:hAnsi="Arial" w:cs="Arial"/>
          <w:sz w:val="16"/>
          <w:lang w:val="fr-FR" w:bidi="lo-LA"/>
        </w:rPr>
        <w:t>CARE USA, 2013,</w:t>
      </w:r>
      <w:r w:rsidR="00BC69D1" w:rsidRPr="003014C8">
        <w:rPr>
          <w:rFonts w:ascii="Arial" w:eastAsiaTheme="minorHAnsi" w:hAnsi="Arial" w:cs="Arial"/>
          <w:sz w:val="16"/>
          <w:lang w:val="fr-FR" w:bidi="lo-LA"/>
        </w:rPr>
        <w:t xml:space="preserve"> </w:t>
      </w:r>
      <w:r w:rsidR="00BC69D1" w:rsidRPr="00BC69D1">
        <w:rPr>
          <w:rFonts w:ascii="Arial" w:eastAsiaTheme="minorHAnsi" w:hAnsi="Arial" w:cs="Arial"/>
          <w:i/>
          <w:sz w:val="16"/>
          <w:lang w:val="fr-FR" w:bidi="lo-LA"/>
        </w:rPr>
        <w:t>Pathways to Empowerment – Résumé du rapport de base Conclusions du MALI</w:t>
      </w:r>
      <w:r w:rsidR="00BC69D1">
        <w:rPr>
          <w:rFonts w:ascii="Arial" w:eastAsiaTheme="minorHAnsi" w:hAnsi="Arial" w:cs="Arial"/>
          <w:sz w:val="16"/>
          <w:lang w:val="fr-FR" w:bidi="lo-LA"/>
        </w:rPr>
        <w:t>.</w:t>
      </w:r>
    </w:p>
  </w:endnote>
  <w:endnote w:id="18">
    <w:p w:rsidR="00E771BF" w:rsidRPr="002800A2" w:rsidRDefault="00E771BF" w:rsidP="005E1059">
      <w:pPr>
        <w:pStyle w:val="EndnoteText"/>
        <w:jc w:val="both"/>
      </w:pPr>
      <w:r>
        <w:rPr>
          <w:rStyle w:val="EndnoteReference"/>
        </w:rPr>
        <w:endnoteRef/>
      </w:r>
      <w:r>
        <w:t xml:space="preserve"> </w:t>
      </w:r>
      <w:r w:rsidR="00BC69D1">
        <w:rPr>
          <w:rFonts w:ascii="Arial" w:eastAsiaTheme="minorHAnsi" w:hAnsi="Arial" w:cs="Arial"/>
          <w:sz w:val="16"/>
          <w:lang w:val="en-AU" w:bidi="lo-LA"/>
        </w:rPr>
        <w:t>UNDP, 2012,</w:t>
      </w:r>
      <w:r w:rsidRPr="00E771BF">
        <w:rPr>
          <w:rFonts w:ascii="Arial" w:eastAsiaTheme="minorHAnsi" w:hAnsi="Arial" w:cs="Arial"/>
          <w:sz w:val="16"/>
          <w:lang w:val="en-AU" w:bidi="lo-LA"/>
        </w:rPr>
        <w:t xml:space="preserve"> </w:t>
      </w:r>
      <w:r w:rsidRPr="00BC69D1">
        <w:rPr>
          <w:rFonts w:ascii="Arial" w:eastAsiaTheme="minorHAnsi" w:hAnsi="Arial" w:cs="Arial"/>
          <w:i/>
          <w:sz w:val="16"/>
          <w:lang w:val="en-AU" w:bidi="lo-LA"/>
        </w:rPr>
        <w:t>Gender Equality and Women’s Empowerment in Public Administration</w:t>
      </w:r>
      <w:r w:rsidRPr="00E771BF">
        <w:rPr>
          <w:rFonts w:ascii="Arial" w:eastAsiaTheme="minorHAnsi" w:hAnsi="Arial" w:cs="Arial"/>
          <w:sz w:val="16"/>
          <w:lang w:val="en-AU" w:bidi="lo-LA"/>
        </w:rPr>
        <w:t xml:space="preserve"> – MALI Case Study</w:t>
      </w:r>
      <w:r w:rsidR="00BC69D1">
        <w:rPr>
          <w:rFonts w:ascii="Arial" w:eastAsiaTheme="minorHAnsi" w:hAnsi="Arial" w:cs="Arial"/>
          <w:sz w:val="16"/>
          <w:lang w:val="en-AU" w:bidi="lo-LA"/>
        </w:rPr>
        <w:t>.</w:t>
      </w:r>
    </w:p>
  </w:endnote>
  <w:endnote w:id="19">
    <w:p w:rsidR="002D4F38" w:rsidRPr="00BC69D1" w:rsidRDefault="002D4F38" w:rsidP="005E1059">
      <w:pPr>
        <w:pStyle w:val="EndnoteText"/>
        <w:jc w:val="both"/>
        <w:rPr>
          <w:rFonts w:ascii="Arial" w:eastAsiaTheme="minorHAnsi" w:hAnsi="Arial" w:cs="Arial"/>
          <w:sz w:val="16"/>
          <w:lang w:val="en-AU" w:bidi="lo-LA"/>
        </w:rPr>
      </w:pPr>
      <w:r>
        <w:rPr>
          <w:rStyle w:val="EndnoteReference"/>
        </w:rPr>
        <w:endnoteRef/>
      </w:r>
      <w:r w:rsidRPr="002D4F38">
        <w:rPr>
          <w:lang w:val="en-AU"/>
        </w:rPr>
        <w:t xml:space="preserve"> </w:t>
      </w:r>
      <w:r w:rsidRPr="00BC69D1">
        <w:rPr>
          <w:rFonts w:ascii="Arial" w:eastAsiaTheme="minorHAnsi" w:hAnsi="Arial" w:cs="Arial"/>
          <w:sz w:val="16"/>
          <w:lang w:val="en-AU" w:bidi="lo-LA"/>
        </w:rPr>
        <w:t>CARE</w:t>
      </w:r>
      <w:r w:rsidR="00BC69D1" w:rsidRPr="00BC69D1">
        <w:rPr>
          <w:rFonts w:ascii="Arial" w:eastAsiaTheme="minorHAnsi" w:hAnsi="Arial" w:cs="Arial"/>
          <w:sz w:val="16"/>
          <w:lang w:val="en-AU" w:bidi="lo-LA"/>
        </w:rPr>
        <w:t>, 2011,</w:t>
      </w:r>
      <w:r w:rsidRPr="00BC69D1">
        <w:rPr>
          <w:rFonts w:ascii="Arial" w:eastAsiaTheme="minorHAnsi" w:hAnsi="Arial" w:cs="Arial"/>
          <w:sz w:val="16"/>
          <w:lang w:val="en-AU" w:bidi="lo-LA"/>
        </w:rPr>
        <w:t xml:space="preserve"> </w:t>
      </w:r>
      <w:r w:rsidR="00BC69D1" w:rsidRPr="00BC69D1">
        <w:rPr>
          <w:rFonts w:ascii="Arial" w:eastAsiaTheme="minorHAnsi" w:hAnsi="Arial" w:cs="Arial"/>
          <w:sz w:val="16"/>
          <w:lang w:val="en-AU" w:bidi="lo-LA"/>
        </w:rPr>
        <w:t>Mali Action Research report.</w:t>
      </w:r>
    </w:p>
  </w:endnote>
  <w:endnote w:id="20">
    <w:p w:rsidR="00B10773" w:rsidRPr="00B10773" w:rsidRDefault="00B10773" w:rsidP="005E1059">
      <w:pPr>
        <w:pStyle w:val="EndnoteText"/>
        <w:jc w:val="both"/>
        <w:rPr>
          <w:lang w:val="fr-FR"/>
        </w:rPr>
      </w:pPr>
      <w:r>
        <w:rPr>
          <w:rStyle w:val="EndnoteReference"/>
        </w:rPr>
        <w:endnoteRef/>
      </w:r>
      <w:r w:rsidRPr="00B10773">
        <w:rPr>
          <w:lang w:val="fr-FR"/>
        </w:rPr>
        <w:t xml:space="preserve"> </w:t>
      </w:r>
      <w:r w:rsidR="00BC69D1">
        <w:rPr>
          <w:rFonts w:ascii="Arial" w:eastAsiaTheme="minorHAnsi" w:hAnsi="Arial" w:cs="Arial"/>
          <w:sz w:val="16"/>
          <w:lang w:val="fr-FR" w:bidi="lo-LA"/>
        </w:rPr>
        <w:t>CARE USA, 2013,</w:t>
      </w:r>
      <w:r w:rsidR="00BC69D1" w:rsidRPr="003014C8">
        <w:rPr>
          <w:rFonts w:ascii="Arial" w:eastAsiaTheme="minorHAnsi" w:hAnsi="Arial" w:cs="Arial"/>
          <w:sz w:val="16"/>
          <w:lang w:val="fr-FR" w:bidi="lo-LA"/>
        </w:rPr>
        <w:t xml:space="preserve"> </w:t>
      </w:r>
      <w:r w:rsidR="00BC69D1" w:rsidRPr="00BC69D1">
        <w:rPr>
          <w:rFonts w:ascii="Arial" w:eastAsiaTheme="minorHAnsi" w:hAnsi="Arial" w:cs="Arial"/>
          <w:i/>
          <w:sz w:val="16"/>
          <w:lang w:val="fr-FR" w:bidi="lo-LA"/>
        </w:rPr>
        <w:t>Pathways to Empowerment – Résumé du rapport de base Conclusions du MALI</w:t>
      </w:r>
      <w:r w:rsidR="00BC69D1">
        <w:rPr>
          <w:rFonts w:ascii="Arial" w:eastAsiaTheme="minorHAnsi" w:hAnsi="Arial" w:cs="Arial"/>
          <w:sz w:val="16"/>
          <w:lang w:val="fr-FR" w:bidi="lo-LA"/>
        </w:rPr>
        <w:t>.</w:t>
      </w:r>
    </w:p>
  </w:endnote>
  <w:endnote w:id="21">
    <w:p w:rsidR="00E02111" w:rsidRPr="002A773B" w:rsidRDefault="00E02111" w:rsidP="00BC69D1">
      <w:pPr>
        <w:pStyle w:val="Heading1"/>
        <w:spacing w:line="240" w:lineRule="auto"/>
      </w:pPr>
      <w:r w:rsidRPr="00BC69D1">
        <w:rPr>
          <w:rStyle w:val="EndnoteReference"/>
          <w:rFonts w:ascii="Calibri" w:eastAsia="Cambria" w:hAnsi="Calibri" w:cs="Times New Roman"/>
          <w:b w:val="0"/>
          <w:bCs w:val="0"/>
          <w:color w:val="auto"/>
          <w:sz w:val="18"/>
          <w:szCs w:val="20"/>
          <w:lang w:val="en-US"/>
        </w:rPr>
        <w:endnoteRef/>
      </w:r>
      <w:r w:rsidRPr="00BC69D1">
        <w:rPr>
          <w:rStyle w:val="EndnoteReference"/>
          <w:rFonts w:ascii="Calibri" w:eastAsia="Cambria" w:hAnsi="Calibri" w:cs="Times New Roman"/>
          <w:b w:val="0"/>
          <w:bCs w:val="0"/>
          <w:color w:val="auto"/>
          <w:sz w:val="18"/>
          <w:szCs w:val="20"/>
          <w:lang w:val="en-US"/>
        </w:rPr>
        <w:t xml:space="preserve"> </w:t>
      </w:r>
      <w:r w:rsidR="00BC69D1" w:rsidRPr="00BC69D1">
        <w:rPr>
          <w:rFonts w:ascii="Arial" w:eastAsiaTheme="minorHAnsi" w:hAnsi="Arial" w:cs="Arial"/>
          <w:b w:val="0"/>
          <w:bCs w:val="0"/>
          <w:color w:val="auto"/>
          <w:sz w:val="16"/>
          <w:szCs w:val="20"/>
          <w:lang w:bidi="lo-LA"/>
        </w:rPr>
        <w:t>UNHCR/Refworld, 201</w:t>
      </w:r>
      <w:r w:rsidRPr="00BC69D1">
        <w:rPr>
          <w:rFonts w:ascii="Arial" w:eastAsiaTheme="minorHAnsi" w:hAnsi="Arial" w:cs="Arial"/>
          <w:b w:val="0"/>
          <w:bCs w:val="0"/>
          <w:color w:val="auto"/>
          <w:sz w:val="16"/>
          <w:szCs w:val="20"/>
          <w:lang w:bidi="lo-LA"/>
        </w:rPr>
        <w:t>4</w:t>
      </w:r>
      <w:r w:rsidR="00BC69D1" w:rsidRPr="00BC69D1">
        <w:rPr>
          <w:rFonts w:ascii="Arial" w:eastAsiaTheme="minorHAnsi" w:hAnsi="Arial" w:cs="Arial"/>
          <w:b w:val="0"/>
          <w:bCs w:val="0"/>
          <w:color w:val="auto"/>
          <w:sz w:val="16"/>
          <w:szCs w:val="20"/>
          <w:lang w:bidi="lo-LA"/>
        </w:rPr>
        <w:t xml:space="preserve">, </w:t>
      </w:r>
      <w:r w:rsidR="00BC69D1" w:rsidRPr="00BC69D1">
        <w:rPr>
          <w:rFonts w:ascii="Arial" w:eastAsiaTheme="minorHAnsi" w:hAnsi="Arial" w:cs="Arial"/>
          <w:b w:val="0"/>
          <w:bCs w:val="0"/>
          <w:i/>
          <w:color w:val="auto"/>
          <w:sz w:val="16"/>
          <w:szCs w:val="20"/>
          <w:lang w:bidi="lo-LA"/>
        </w:rPr>
        <w:t>Mali: polygamy, including conditions to be met for a man to be able to marry a second wife; divorce, specifically when a woman requests a divorce, including the grounds and treatment of women by society and the authorities (2012-December 2013)</w:t>
      </w:r>
      <w:r w:rsidR="00BC69D1">
        <w:rPr>
          <w:rFonts w:ascii="Arial" w:eastAsiaTheme="minorHAnsi" w:hAnsi="Arial" w:cs="Arial"/>
          <w:b w:val="0"/>
          <w:bCs w:val="0"/>
          <w:i/>
          <w:color w:val="auto"/>
          <w:sz w:val="16"/>
          <w:szCs w:val="20"/>
          <w:lang w:bidi="lo-LA"/>
        </w:rPr>
        <w:t>.</w:t>
      </w:r>
    </w:p>
  </w:endnote>
  <w:endnote w:id="22">
    <w:p w:rsidR="00225B1A" w:rsidRPr="00225B1A" w:rsidRDefault="00225B1A" w:rsidP="005E1059">
      <w:pPr>
        <w:pStyle w:val="EndnoteText"/>
        <w:jc w:val="both"/>
        <w:rPr>
          <w:lang w:val="en-AU"/>
        </w:rPr>
      </w:pPr>
      <w:r>
        <w:rPr>
          <w:rStyle w:val="EndnoteReference"/>
        </w:rPr>
        <w:endnoteRef/>
      </w:r>
      <w:r>
        <w:t xml:space="preserve"> </w:t>
      </w:r>
      <w:r w:rsidR="00BC69D1" w:rsidRPr="00BC69D1">
        <w:rPr>
          <w:rFonts w:ascii="Arial" w:eastAsiaTheme="minorHAnsi" w:hAnsi="Arial" w:cs="Arial"/>
          <w:sz w:val="16"/>
          <w:lang w:val="en-AU" w:bidi="lo-LA"/>
        </w:rPr>
        <w:t xml:space="preserve">CARE, </w:t>
      </w:r>
      <w:r w:rsidRPr="00BC69D1">
        <w:rPr>
          <w:rFonts w:ascii="Arial" w:eastAsiaTheme="minorHAnsi" w:hAnsi="Arial" w:cs="Arial"/>
          <w:sz w:val="16"/>
          <w:lang w:val="en-AU" w:bidi="lo-LA"/>
        </w:rPr>
        <w:t>2013</w:t>
      </w:r>
      <w:r w:rsidR="00BC69D1" w:rsidRPr="00BC69D1">
        <w:rPr>
          <w:rFonts w:ascii="Arial" w:eastAsiaTheme="minorHAnsi" w:hAnsi="Arial" w:cs="Arial"/>
          <w:sz w:val="16"/>
          <w:lang w:val="en-AU" w:bidi="lo-LA"/>
        </w:rPr>
        <w:t>, Mali baseline study</w:t>
      </w:r>
      <w:r w:rsidR="00BC69D1">
        <w:rPr>
          <w:rFonts w:ascii="Arial" w:eastAsiaTheme="minorHAnsi" w:hAnsi="Arial" w:cs="Arial"/>
          <w:sz w:val="16"/>
          <w:lang w:val="en-AU" w:bidi="lo-LA"/>
        </w:rPr>
        <w:t>.</w:t>
      </w:r>
    </w:p>
  </w:endnote>
  <w:endnote w:id="23">
    <w:p w:rsidR="005F4E15" w:rsidRPr="005F4E15" w:rsidRDefault="005F4E15" w:rsidP="005E1059">
      <w:pPr>
        <w:pStyle w:val="EndnoteText"/>
        <w:jc w:val="both"/>
        <w:rPr>
          <w:lang w:val="en-AU"/>
        </w:rPr>
      </w:pPr>
      <w:r>
        <w:rPr>
          <w:rStyle w:val="EndnoteReference"/>
        </w:rPr>
        <w:endnoteRef/>
      </w:r>
      <w:r>
        <w:t xml:space="preserve"> </w:t>
      </w:r>
      <w:r w:rsidRPr="005F4E15">
        <w:rPr>
          <w:rFonts w:ascii="Arial" w:eastAsiaTheme="minorHAnsi" w:hAnsi="Arial" w:cs="Arial"/>
          <w:sz w:val="16"/>
          <w:lang w:val="en-AU" w:bidi="lo-LA"/>
        </w:rPr>
        <w:t>Demographic Health Survey (DHS) Program</w:t>
      </w:r>
      <w:r>
        <w:rPr>
          <w:rFonts w:ascii="Arial" w:eastAsiaTheme="minorHAnsi" w:hAnsi="Arial" w:cs="Arial"/>
          <w:sz w:val="16"/>
          <w:lang w:val="en-AU" w:bidi="lo-LA"/>
        </w:rPr>
        <w:t xml:space="preserve"> (</w:t>
      </w:r>
      <w:r w:rsidRPr="005F4E15">
        <w:rPr>
          <w:rFonts w:ascii="Arial" w:eastAsiaTheme="minorHAnsi" w:hAnsi="Arial" w:cs="Arial"/>
          <w:sz w:val="16"/>
          <w:lang w:val="en-AU" w:bidi="lo-LA"/>
        </w:rPr>
        <w:t>2012-2013</w:t>
      </w:r>
      <w:r>
        <w:rPr>
          <w:rFonts w:ascii="Arial" w:eastAsiaTheme="minorHAnsi" w:hAnsi="Arial" w:cs="Arial"/>
          <w:sz w:val="16"/>
          <w:lang w:val="en-AU" w:bidi="lo-LA"/>
        </w:rPr>
        <w:t>)</w:t>
      </w:r>
      <w:r w:rsidRPr="005F4E15">
        <w:rPr>
          <w:rFonts w:ascii="Arial" w:eastAsiaTheme="minorHAnsi" w:hAnsi="Arial" w:cs="Arial"/>
          <w:sz w:val="16"/>
          <w:lang w:val="en-AU" w:bidi="lo-LA"/>
        </w:rPr>
        <w:t xml:space="preserve"> – Country Quickstats </w:t>
      </w:r>
      <w:hyperlink r:id="rId2" w:history="1">
        <w:r w:rsidRPr="003865A2">
          <w:rPr>
            <w:rStyle w:val="Hyperlink"/>
            <w:rFonts w:ascii="Arial" w:eastAsiaTheme="minorHAnsi" w:hAnsi="Arial" w:cs="Arial"/>
            <w:sz w:val="16"/>
            <w:lang w:val="en-AU" w:bidi="lo-LA"/>
          </w:rPr>
          <w:t>https://dhsprogram.com/Where-We-Work/Country-Main.cfm?ctry_id=25&amp;c=Mali&amp;Country=Mali&amp;cn=&amp;r=1#</w:t>
        </w:r>
      </w:hyperlink>
      <w:r w:rsidR="00BC69D1">
        <w:rPr>
          <w:rStyle w:val="Hyperlink"/>
          <w:rFonts w:ascii="Arial" w:eastAsiaTheme="minorHAnsi" w:hAnsi="Arial" w:cs="Arial"/>
          <w:sz w:val="16"/>
          <w:lang w:val="en-AU" w:bidi="lo-LA"/>
        </w:rPr>
        <w:t>.</w:t>
      </w:r>
      <w:r>
        <w:rPr>
          <w:rFonts w:ascii="Arial" w:eastAsiaTheme="minorHAnsi" w:hAnsi="Arial" w:cs="Arial"/>
          <w:sz w:val="16"/>
          <w:lang w:val="en-AU" w:bidi="lo-LA"/>
        </w:rPr>
        <w:t xml:space="preserve"> </w:t>
      </w:r>
    </w:p>
  </w:endnote>
  <w:endnote w:id="24">
    <w:p w:rsidR="005F4E15" w:rsidRPr="005F4E15" w:rsidRDefault="005F4E15" w:rsidP="005E1059">
      <w:pPr>
        <w:pStyle w:val="EndnoteText"/>
        <w:jc w:val="both"/>
        <w:rPr>
          <w:lang w:val="en-AU"/>
        </w:rPr>
      </w:pPr>
      <w:r>
        <w:rPr>
          <w:rStyle w:val="EndnoteReference"/>
        </w:rPr>
        <w:endnoteRef/>
      </w:r>
      <w:r>
        <w:t xml:space="preserve"> </w:t>
      </w:r>
      <w:r w:rsidR="00BC69D1" w:rsidRPr="00BC69D1">
        <w:rPr>
          <w:rFonts w:ascii="Arial" w:eastAsiaTheme="minorHAnsi" w:hAnsi="Arial" w:cs="Arial"/>
          <w:sz w:val="16"/>
          <w:lang w:val="en-AU" w:bidi="lo-LA"/>
        </w:rPr>
        <w:t xml:space="preserve">UNICEF, 2013, </w:t>
      </w:r>
      <w:r w:rsidR="00BC69D1" w:rsidRPr="00BC69D1">
        <w:rPr>
          <w:rFonts w:ascii="Arial" w:eastAsiaTheme="minorHAnsi" w:hAnsi="Arial" w:cs="Arial"/>
          <w:i/>
          <w:sz w:val="16"/>
          <w:lang w:val="en-AU" w:bidi="lo-LA"/>
        </w:rPr>
        <w:t>Female</w:t>
      </w:r>
      <w:r w:rsidR="00BC69D1" w:rsidRPr="00BC69D1">
        <w:rPr>
          <w:i/>
        </w:rPr>
        <w:t xml:space="preserve"> Genital Mutilation/Cutting: A statistical overview and exploration of the dynamics of change</w:t>
      </w:r>
      <w:r w:rsidR="00BC69D1">
        <w:rPr>
          <w:lang w:val="en-AU"/>
        </w:rPr>
        <w:t>.</w:t>
      </w:r>
      <w:r w:rsidRPr="00BC69D1">
        <w:rPr>
          <w:lang w:val="en-AU"/>
        </w:rPr>
        <w:t xml:space="preserve"> </w:t>
      </w:r>
    </w:p>
  </w:endnote>
  <w:endnote w:id="25">
    <w:p w:rsidR="005F4E15" w:rsidRPr="005F4E15" w:rsidRDefault="005F4E15" w:rsidP="00C35417">
      <w:pPr>
        <w:pStyle w:val="Heading3"/>
        <w:spacing w:before="0"/>
        <w:rPr>
          <w:lang w:val="en-AU"/>
        </w:rPr>
      </w:pPr>
      <w:r w:rsidRPr="00C35417">
        <w:rPr>
          <w:rStyle w:val="EndnoteReference"/>
          <w:rFonts w:ascii="Calibri" w:eastAsia="Cambria" w:hAnsi="Calibri" w:cs="Times New Roman"/>
          <w:sz w:val="18"/>
        </w:rPr>
        <w:endnoteRef/>
      </w:r>
      <w:r w:rsidRPr="00C35417">
        <w:rPr>
          <w:rStyle w:val="EndnoteReference"/>
          <w:rFonts w:ascii="Calibri" w:eastAsia="Cambria" w:hAnsi="Calibri" w:cs="Times New Roman"/>
          <w:sz w:val="18"/>
        </w:rPr>
        <w:t xml:space="preserve"> </w:t>
      </w:r>
      <w:r w:rsidRPr="00C93DB2">
        <w:rPr>
          <w:rFonts w:ascii="Arial" w:eastAsiaTheme="minorHAnsi" w:hAnsi="Arial" w:cs="Arial"/>
          <w:color w:val="auto"/>
          <w:sz w:val="16"/>
          <w:szCs w:val="20"/>
          <w:lang w:val="en-AU" w:bidi="lo-LA"/>
        </w:rPr>
        <w:t>UN</w:t>
      </w:r>
      <w:r w:rsidR="00C93DB2" w:rsidRPr="00C93DB2">
        <w:rPr>
          <w:rFonts w:ascii="Arial" w:eastAsiaTheme="minorHAnsi" w:hAnsi="Arial" w:cs="Arial"/>
          <w:color w:val="auto"/>
          <w:sz w:val="16"/>
          <w:szCs w:val="20"/>
          <w:lang w:val="en-AU" w:bidi="lo-LA"/>
        </w:rPr>
        <w:t xml:space="preserve">FPA, </w:t>
      </w:r>
      <w:hyperlink r:id="rId3" w:history="1">
        <w:r w:rsidR="00C93DB2" w:rsidRPr="00C35417">
          <w:rPr>
            <w:rFonts w:ascii="Arial" w:eastAsiaTheme="minorHAnsi" w:hAnsi="Arial" w:cs="Arial"/>
            <w:color w:val="auto"/>
            <w:sz w:val="16"/>
            <w:szCs w:val="20"/>
            <w:lang w:val="en-AU" w:bidi="lo-LA"/>
          </w:rPr>
          <w:t>Profiles of 10 Countries with the Highest Rates of Child Marriage</w:t>
        </w:r>
      </w:hyperlink>
      <w:r w:rsidR="00C35417">
        <w:rPr>
          <w:rFonts w:ascii="Arial" w:eastAsiaTheme="minorHAnsi" w:hAnsi="Arial" w:cs="Arial"/>
          <w:color w:val="auto"/>
          <w:sz w:val="16"/>
          <w:szCs w:val="20"/>
          <w:lang w:val="en-AU" w:bidi="lo-LA"/>
        </w:rPr>
        <w:t xml:space="preserve"> in 2010, Mali.</w:t>
      </w:r>
    </w:p>
  </w:endnote>
  <w:endnote w:id="26">
    <w:p w:rsidR="00F421D4" w:rsidRPr="00C35417" w:rsidRDefault="00F421D4" w:rsidP="005E1059">
      <w:pPr>
        <w:pStyle w:val="EndnoteText"/>
        <w:jc w:val="both"/>
        <w:rPr>
          <w:rFonts w:ascii="Arial" w:eastAsiaTheme="minorHAnsi" w:hAnsi="Arial" w:cs="Arial"/>
          <w:sz w:val="16"/>
          <w:lang w:val="en-AU" w:bidi="lo-LA"/>
        </w:rPr>
      </w:pPr>
      <w:r>
        <w:rPr>
          <w:rStyle w:val="EndnoteReference"/>
        </w:rPr>
        <w:endnoteRef/>
      </w:r>
      <w:r>
        <w:t xml:space="preserve"> </w:t>
      </w:r>
      <w:r w:rsidR="00C35417">
        <w:rPr>
          <w:rFonts w:ascii="Arial" w:eastAsiaTheme="minorHAnsi" w:hAnsi="Arial" w:cs="Arial"/>
          <w:sz w:val="16"/>
          <w:lang w:val="en-AU" w:bidi="lo-LA"/>
        </w:rPr>
        <w:t>UNICEF Mali, 2012,</w:t>
      </w:r>
      <w:r w:rsidRPr="00C35417">
        <w:rPr>
          <w:rFonts w:ascii="Arial" w:eastAsiaTheme="minorHAnsi" w:hAnsi="Arial" w:cs="Arial"/>
          <w:sz w:val="16"/>
          <w:lang w:val="en-AU" w:bidi="lo-LA"/>
        </w:rPr>
        <w:t xml:space="preserve"> Supporting Women and Children Through an Emergency</w:t>
      </w:r>
      <w:r w:rsidR="00C35417">
        <w:rPr>
          <w:rFonts w:ascii="Arial" w:eastAsiaTheme="minorHAnsi" w:hAnsi="Arial" w:cs="Arial"/>
          <w:sz w:val="16"/>
          <w:lang w:val="en-AU" w:bidi="lo-LA"/>
        </w:rPr>
        <w:t>.</w:t>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NeueLT Std">
    <w:altName w:val="Cambria"/>
    <w:panose1 w:val="00000000000000000000"/>
    <w:charset w:val="00"/>
    <w:family w:val="swiss"/>
    <w:notTrueType/>
    <w:pitch w:val="variable"/>
    <w:sig w:usb0="800000AF" w:usb1="4000204A" w:usb2="00000000" w:usb3="00000000" w:csb0="00000001" w:csb1="00000000"/>
  </w:font>
  <w:font w:name="ＭＳ ゴシック">
    <w:charset w:val="4E"/>
    <w:family w:val="auto"/>
    <w:pitch w:val="variable"/>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Lucida Grande">
    <w:altName w:val="Arial"/>
    <w:panose1 w:val="00000000000000000000"/>
    <w:charset w:val="00"/>
    <w:family w:val="auto"/>
    <w:pitch w:val="variable"/>
    <w:sig w:usb0="E1000AEF" w:usb1="5000A1FF" w:usb2="00000000" w:usb3="00000000" w:csb0="000001BF" w:csb1="00000000"/>
  </w:font>
  <w:font w:name="ITC Officina Sans Book">
    <w:altName w:val="Cambria"/>
    <w:charset w:val="00"/>
    <w:family w:val="swiss"/>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DokChampa">
    <w:altName w:val="Microsoft Sans Serif"/>
    <w:charset w:val="00"/>
    <w:family w:val="swiss"/>
    <w:pitch w:val="variable"/>
    <w:sig w:usb0="03000003" w:usb1="00000000" w:usb2="00000000" w:usb3="00000000" w:csb0="0001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834B0" w:rsidRDefault="00152AFE">
    <w:pPr>
      <w:pStyle w:val="Footer"/>
    </w:pPr>
    <w:r w:rsidRPr="00152AFE">
      <w:rPr>
        <w:noProof/>
        <w:lang w:val="en-AU" w:eastAsia="en-AU"/>
      </w:rPr>
      <w:pict>
        <v:rect id="Rectangle 15" o:spid="_x0000_s10242" style="position:absolute;margin-left:-117.05pt;margin-top:-352.95pt;width:728.15pt;height:546.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" fillcolor="#f79646 [3209]" stroked="f">
          <w10:wrap anchorx="margin"/>
        </v:rect>
      </w:pict>
    </w: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E19BC" w:rsidRPr="00B6795E" w:rsidRDefault="002E19BC" w:rsidP="00860F86">
    <w:pPr>
      <w:pStyle w:val="Footer"/>
    </w:pPr>
    <w:r w:rsidRPr="006812FE">
      <w:rPr>
        <w:noProof/>
      </w:rPr>
      <w:drawing>
        <wp:inline distT="0" distB="0" distL="0" distR="0">
          <wp:extent cx="656114" cy="604104"/>
          <wp:effectExtent l="19050" t="0" r="0" b="0"/>
          <wp:docPr id="1" name="Picture 11" descr="word templat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templat footer.jpg"/>
                  <pic:cNvPicPr/>
                </pic:nvPicPr>
                <pic:blipFill>
                  <a:blip r:embed="rId1"/>
                  <a:stretch>
                    <a:fillRect/>
                  </a:stretch>
                </pic:blipFill>
                <pic:spPr>
                  <a:xfrm>
                    <a:off x="0" y="0"/>
                    <a:ext cx="656114" cy="604104"/>
                  </a:xfrm>
                  <a:prstGeom prst="rect">
                    <a:avLst/>
                  </a:prstGeom>
                </pic:spPr>
              </pic:pic>
            </a:graphicData>
          </a:graphic>
        </wp:inline>
      </w:drawing>
    </w:r>
    <w:r>
      <w:tab/>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E159FD" w:rsidRDefault="00E159FD" w:rsidP="00860F86">
      <w:r>
        <w:separator/>
      </w:r>
    </w:p>
  </w:footnote>
  <w:footnote w:type="continuationSeparator" w:id="1">
    <w:p w:rsidR="00E159FD" w:rsidRDefault="00E159FD" w:rsidP="00860F86">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E19BC" w:rsidRDefault="00152AFE" w:rsidP="00BC3A14">
    <w:pPr>
      <w:pStyle w:val="Header"/>
      <w:ind w:left="-1276"/>
    </w:pPr>
    <w:r w:rsidRPr="00152AFE">
      <w:rPr>
        <w:noProof/>
        <w:lang w:val="en-AU" w:eastAsia="en-AU"/>
      </w:rPr>
      <w:pict>
        <v:shapetype id="_x0000_t202" coordsize="21600,21600" o:spt="202" path="m0,0l0,21600,21600,21600,21600,0xe">
          <v:stroke joinstyle="miter"/>
          <v:path gradientshapeok="t" o:connecttype="rect"/>
        </v:shapetype>
        <v:shape id="Text Box 11" o:spid="_x0000_s10241" type="#_x0000_t202" style="position:absolute;left:0;text-align:left;margin-left:-53.85pt;margin-top:169.05pt;width:609.75pt;height:13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" fillcolor="#f79646 [3209]" stroked="f">
          <v:textbox>
            <w:txbxContent>
              <w:p w:rsidR="002E19BC" w:rsidRPr="000F4741" w:rsidRDefault="002E19BC" w:rsidP="00672206">
                <w:pPr>
                  <w:pStyle w:val="Footer"/>
                  <w:rPr>
                    <w:rFonts w:ascii="Arial" w:hAnsi="Arial" w:cs="Arial"/>
                    <w:b/>
                    <w:color w:val="FFFFFF" w:themeColor="background1"/>
                    <w:sz w:val="20"/>
                    <w:szCs w:val="24"/>
                    <w:lang w:val="en-GB"/>
                  </w:rPr>
                </w:pPr>
              </w:p>
            </w:txbxContent>
          </v:textbox>
        </v:shape>
      </w:pict>
    </w:r>
    <w:r w:rsidRPr="00152AFE">
      <w:rPr>
        <w:noProof/>
        <w:lang w:val="en-AU" w:eastAsia="en-AU"/>
      </w:rPr>
      <w:pict>
        <v:shape id="Text Box 19" o:spid="_x0000_s10240" type="#_x0000_t202" style="position:absolute;left:0;text-align:left;margin-left:-7.55pt;margin-top:205.35pt;width:244.75pt;height:9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" filled="f" stroked="f">
          <v:textbox>
            <w:txbxContent>
              <w:p w:rsidR="002E19BC" w:rsidRPr="000F4741" w:rsidRDefault="00A54456" w:rsidP="00860F86">
                <w:pPr>
                  <w:rPr>
                    <w:rFonts w:ascii="Arial" w:hAnsi="Arial" w:cs="Arial"/>
                    <w:b/>
                    <w:color w:val="FFFFFF" w:themeColor="background1"/>
                    <w:sz w:val="72"/>
                    <w:szCs w:val="72"/>
                  </w:rPr>
                </w:pPr>
                <w:r w:rsidRPr="000F4741">
                  <w:rPr>
                    <w:rFonts w:ascii="Arial" w:hAnsi="Arial" w:cs="Arial"/>
                    <w:b/>
                    <w:color w:val="FFFFFF" w:themeColor="background1"/>
                    <w:sz w:val="72"/>
                    <w:szCs w:val="72"/>
                  </w:rPr>
                  <w:t>Mali</w:t>
                </w:r>
              </w:p>
            </w:txbxContent>
          </v:textbox>
        </v:shape>
      </w:pict>
    </w:r>
    <w:r w:rsidR="002E19BC" w:rsidRPr="0059752C">
      <w:rPr>
        <w:noProof/>
      </w:rPr>
      <w:drawing>
        <wp:inline distT="0" distB="0" distL="0" distR="0">
          <wp:extent cx="7781925" cy="2217310"/>
          <wp:effectExtent l="0" t="0" r="0" b="0"/>
          <wp:docPr id="2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0510 CAMBODIA10 IMG_4367.jpg"/>
                  <pic:cNvPicPr/>
                </pic:nvPicPr>
                <pic:blipFill>
                  <a:blip r:embed="rId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804504" cy="2223744"/>
                  </a:xfrm>
                  <a:prstGeom prst="rect">
                    <a:avLst/>
                  </a:prstGeom>
                </pic:spPr>
              </pic:pic>
            </a:graphicData>
          </a:graphic>
        </wp:inline>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0D76E79"/>
    <w:multiLevelType w:val="hybridMultilevel"/>
    <w:tmpl w:val="EE385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785B60"/>
    <w:multiLevelType w:val="hybridMultilevel"/>
    <w:tmpl w:val="7F78BB90"/>
    <w:lvl w:ilvl="0" w:tplc="0E9CD45A">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FBC18DD"/>
    <w:multiLevelType w:val="hybridMultilevel"/>
    <w:tmpl w:val="F7D448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B8E15DF"/>
    <w:multiLevelType w:val="hybridMultilevel"/>
    <w:tmpl w:val="5D1EB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C13D58"/>
    <w:multiLevelType w:val="hybridMultilevel"/>
    <w:tmpl w:val="4DDC4A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8845D79"/>
    <w:multiLevelType w:val="hybridMultilevel"/>
    <w:tmpl w:val="11843612"/>
    <w:lvl w:ilvl="0" w:tplc="0FB628EA">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442460"/>
    <w:multiLevelType w:val="hybridMultilevel"/>
    <w:tmpl w:val="5232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A11201"/>
    <w:multiLevelType w:val="hybridMultilevel"/>
    <w:tmpl w:val="E648E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9E461E7"/>
    <w:multiLevelType w:val="hybridMultilevel"/>
    <w:tmpl w:val="E6500BA4"/>
    <w:lvl w:ilvl="0" w:tplc="0409000F">
      <w:start w:val="1"/>
      <w:numFmt w:val="decimal"/>
      <w:lvlText w:val="%1."/>
      <w:lvlJc w:val="left"/>
      <w:pPr>
        <w:ind w:left="360" w:hanging="360"/>
      </w:pPr>
      <w:rPr>
        <w:rFonts w:hint="default"/>
      </w:rPr>
    </w:lvl>
    <w:lvl w:ilvl="1" w:tplc="E9C48FE2">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D5459A6"/>
    <w:multiLevelType w:val="hybridMultilevel"/>
    <w:tmpl w:val="EF7E66F0"/>
    <w:lvl w:ilvl="0" w:tplc="04090001">
      <w:start w:val="1"/>
      <w:numFmt w:val="bullet"/>
      <w:lvlText w:val=""/>
      <w:lvlJc w:val="left"/>
      <w:pPr>
        <w:ind w:left="1143" w:hanging="360"/>
      </w:pPr>
      <w:rPr>
        <w:rFonts w:ascii="Symbol" w:hAnsi="Symbol" w:hint="default"/>
      </w:rPr>
    </w:lvl>
    <w:lvl w:ilvl="1" w:tplc="04090003" w:tentative="1">
      <w:start w:val="1"/>
      <w:numFmt w:val="bullet"/>
      <w:lvlText w:val="o"/>
      <w:lvlJc w:val="left"/>
      <w:pPr>
        <w:ind w:left="1863" w:hanging="360"/>
      </w:pPr>
      <w:rPr>
        <w:rFonts w:ascii="Courier New" w:hAnsi="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hint="default"/>
      </w:rPr>
    </w:lvl>
    <w:lvl w:ilvl="8" w:tplc="04090005" w:tentative="1">
      <w:start w:val="1"/>
      <w:numFmt w:val="bullet"/>
      <w:lvlText w:val=""/>
      <w:lvlJc w:val="left"/>
      <w:pPr>
        <w:ind w:left="6903" w:hanging="360"/>
      </w:pPr>
      <w:rPr>
        <w:rFonts w:ascii="Wingdings" w:hAnsi="Wingdings" w:hint="default"/>
      </w:rPr>
    </w:lvl>
  </w:abstractNum>
  <w:num w:numId="1">
    <w:abstractNumId w:val="8"/>
  </w:num>
  <w:num w:numId="2">
    <w:abstractNumId w:val="9"/>
  </w:num>
  <w:num w:numId="3">
    <w:abstractNumId w:val="4"/>
  </w:num>
  <w:num w:numId="4">
    <w:abstractNumId w:val="1"/>
  </w:num>
  <w:num w:numId="5">
    <w:abstractNumId w:val="6"/>
  </w:num>
  <w:num w:numId="6">
    <w:abstractNumId w:val="3"/>
  </w:num>
  <w:num w:numId="7">
    <w:abstractNumId w:val="7"/>
  </w:num>
  <w:num w:numId="8">
    <w:abstractNumId w:val="0"/>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20"/>
  <w:hyphenationZone w:val="425"/>
  <w:characterSpacingControl w:val="doNotCompress"/>
  <w:hdrShapeDefaults>
    <o:shapedefaults v:ext="edit" spidmax="10246" fillcolor="none [3209]" stroke="f" strokecolor="none [3041]">
      <v:fill color="none [3209]"/>
      <v:stroke color="none [3041]" weight="3pt" on="f"/>
      <v:shadow type="perspective" color="none [1609]" opacity=".5" offset="1pt,3pt" offset2="-1pt,2pt"/>
      <o:colormru v:ext="edit" colors="#f93"/>
    </o:shapedefaults>
    <o:shapelayout v:ext="edit">
      <o:idmap v:ext="edit" data="10"/>
    </o:shapelayout>
  </w:hdrShapeDefaults>
  <w:footnotePr>
    <w:footnote w:id="0"/>
    <w:footnote w:id="1"/>
  </w:footnotePr>
  <w:endnotePr>
    <w:endnote w:id="0"/>
    <w:endnote w:id="1"/>
  </w:endnotePr>
  <w:compat/>
  <w:rsids>
    <w:rsidRoot w:val="008C2949"/>
    <w:rsid w:val="00015248"/>
    <w:rsid w:val="000210BA"/>
    <w:rsid w:val="00022CE4"/>
    <w:rsid w:val="00025FFA"/>
    <w:rsid w:val="00030DBE"/>
    <w:rsid w:val="00035796"/>
    <w:rsid w:val="00043F94"/>
    <w:rsid w:val="00063BD7"/>
    <w:rsid w:val="00072970"/>
    <w:rsid w:val="00073B9D"/>
    <w:rsid w:val="00077104"/>
    <w:rsid w:val="000A6E5D"/>
    <w:rsid w:val="000B5113"/>
    <w:rsid w:val="000C2D60"/>
    <w:rsid w:val="000D380F"/>
    <w:rsid w:val="000F10E1"/>
    <w:rsid w:val="000F2BB8"/>
    <w:rsid w:val="000F4741"/>
    <w:rsid w:val="000F6725"/>
    <w:rsid w:val="00102561"/>
    <w:rsid w:val="00107813"/>
    <w:rsid w:val="00125A69"/>
    <w:rsid w:val="00131D65"/>
    <w:rsid w:val="00135D80"/>
    <w:rsid w:val="0014601C"/>
    <w:rsid w:val="001510A4"/>
    <w:rsid w:val="00152A75"/>
    <w:rsid w:val="00152AFE"/>
    <w:rsid w:val="00154818"/>
    <w:rsid w:val="001635FB"/>
    <w:rsid w:val="0017649A"/>
    <w:rsid w:val="001809A2"/>
    <w:rsid w:val="00191775"/>
    <w:rsid w:val="0019187F"/>
    <w:rsid w:val="00195041"/>
    <w:rsid w:val="00195917"/>
    <w:rsid w:val="001A224D"/>
    <w:rsid w:val="001A7E32"/>
    <w:rsid w:val="001B27CB"/>
    <w:rsid w:val="001B374D"/>
    <w:rsid w:val="001B46C4"/>
    <w:rsid w:val="001B7555"/>
    <w:rsid w:val="001F2A47"/>
    <w:rsid w:val="001F75F6"/>
    <w:rsid w:val="001F7E91"/>
    <w:rsid w:val="00200C04"/>
    <w:rsid w:val="002178D6"/>
    <w:rsid w:val="00225B1A"/>
    <w:rsid w:val="00267092"/>
    <w:rsid w:val="002800A2"/>
    <w:rsid w:val="00282024"/>
    <w:rsid w:val="00290EE7"/>
    <w:rsid w:val="002A773B"/>
    <w:rsid w:val="002B1715"/>
    <w:rsid w:val="002D1F0C"/>
    <w:rsid w:val="002D3D77"/>
    <w:rsid w:val="002D4F38"/>
    <w:rsid w:val="002D6D0C"/>
    <w:rsid w:val="002E19BC"/>
    <w:rsid w:val="002E5A0A"/>
    <w:rsid w:val="002E7CC0"/>
    <w:rsid w:val="002F2408"/>
    <w:rsid w:val="002F5960"/>
    <w:rsid w:val="002F7DE3"/>
    <w:rsid w:val="003014C8"/>
    <w:rsid w:val="00302C24"/>
    <w:rsid w:val="00311F95"/>
    <w:rsid w:val="00320DCE"/>
    <w:rsid w:val="00332F3D"/>
    <w:rsid w:val="003404F0"/>
    <w:rsid w:val="00345529"/>
    <w:rsid w:val="00350712"/>
    <w:rsid w:val="003523D7"/>
    <w:rsid w:val="0038457C"/>
    <w:rsid w:val="00390650"/>
    <w:rsid w:val="00390EB3"/>
    <w:rsid w:val="00395133"/>
    <w:rsid w:val="003C5C5B"/>
    <w:rsid w:val="003D594C"/>
    <w:rsid w:val="003D5EDB"/>
    <w:rsid w:val="003E0343"/>
    <w:rsid w:val="00412A88"/>
    <w:rsid w:val="00425369"/>
    <w:rsid w:val="0044708E"/>
    <w:rsid w:val="004477E1"/>
    <w:rsid w:val="00480982"/>
    <w:rsid w:val="0048106D"/>
    <w:rsid w:val="00483C15"/>
    <w:rsid w:val="004873EF"/>
    <w:rsid w:val="00494AE9"/>
    <w:rsid w:val="004A3C27"/>
    <w:rsid w:val="004A4D94"/>
    <w:rsid w:val="004A5DA9"/>
    <w:rsid w:val="004C44E4"/>
    <w:rsid w:val="004D3813"/>
    <w:rsid w:val="004E60B8"/>
    <w:rsid w:val="004F5525"/>
    <w:rsid w:val="00504EF3"/>
    <w:rsid w:val="00516126"/>
    <w:rsid w:val="00516B9C"/>
    <w:rsid w:val="00524EFB"/>
    <w:rsid w:val="0053177C"/>
    <w:rsid w:val="00532BCD"/>
    <w:rsid w:val="005334D2"/>
    <w:rsid w:val="00546968"/>
    <w:rsid w:val="00571627"/>
    <w:rsid w:val="00572926"/>
    <w:rsid w:val="00573D1D"/>
    <w:rsid w:val="0059752C"/>
    <w:rsid w:val="005A1122"/>
    <w:rsid w:val="005C4045"/>
    <w:rsid w:val="005C743D"/>
    <w:rsid w:val="005D2179"/>
    <w:rsid w:val="005E09D7"/>
    <w:rsid w:val="005E1059"/>
    <w:rsid w:val="005E17A5"/>
    <w:rsid w:val="005F4E15"/>
    <w:rsid w:val="006119ED"/>
    <w:rsid w:val="00616B8D"/>
    <w:rsid w:val="00635A15"/>
    <w:rsid w:val="006540FC"/>
    <w:rsid w:val="006607BD"/>
    <w:rsid w:val="00662F98"/>
    <w:rsid w:val="00663CA8"/>
    <w:rsid w:val="00665A8E"/>
    <w:rsid w:val="00666944"/>
    <w:rsid w:val="0067063F"/>
    <w:rsid w:val="00672206"/>
    <w:rsid w:val="00674BA4"/>
    <w:rsid w:val="006803D9"/>
    <w:rsid w:val="00680CD0"/>
    <w:rsid w:val="006812FE"/>
    <w:rsid w:val="00684083"/>
    <w:rsid w:val="006B2267"/>
    <w:rsid w:val="006B6195"/>
    <w:rsid w:val="006C1728"/>
    <w:rsid w:val="006D1F99"/>
    <w:rsid w:val="006D246E"/>
    <w:rsid w:val="0070224E"/>
    <w:rsid w:val="00714C11"/>
    <w:rsid w:val="0072434E"/>
    <w:rsid w:val="00732DEF"/>
    <w:rsid w:val="00733972"/>
    <w:rsid w:val="0073699D"/>
    <w:rsid w:val="00750729"/>
    <w:rsid w:val="00755BE2"/>
    <w:rsid w:val="00772110"/>
    <w:rsid w:val="00775F3A"/>
    <w:rsid w:val="00776F71"/>
    <w:rsid w:val="007A2B5A"/>
    <w:rsid w:val="007C170C"/>
    <w:rsid w:val="007C74E9"/>
    <w:rsid w:val="007D16B3"/>
    <w:rsid w:val="007D4DB2"/>
    <w:rsid w:val="007F5435"/>
    <w:rsid w:val="008102E3"/>
    <w:rsid w:val="00824288"/>
    <w:rsid w:val="00860F86"/>
    <w:rsid w:val="0087645C"/>
    <w:rsid w:val="008814BC"/>
    <w:rsid w:val="0089010E"/>
    <w:rsid w:val="0089374D"/>
    <w:rsid w:val="00893C07"/>
    <w:rsid w:val="008A0E46"/>
    <w:rsid w:val="008B526F"/>
    <w:rsid w:val="008B7B0D"/>
    <w:rsid w:val="008C2949"/>
    <w:rsid w:val="008D1676"/>
    <w:rsid w:val="008E0B48"/>
    <w:rsid w:val="008F0733"/>
    <w:rsid w:val="008F2969"/>
    <w:rsid w:val="008F2A49"/>
    <w:rsid w:val="008F40C2"/>
    <w:rsid w:val="00922B60"/>
    <w:rsid w:val="00922ED9"/>
    <w:rsid w:val="00934306"/>
    <w:rsid w:val="009535BF"/>
    <w:rsid w:val="009756F9"/>
    <w:rsid w:val="009859DF"/>
    <w:rsid w:val="00993D40"/>
    <w:rsid w:val="00996C5C"/>
    <w:rsid w:val="009C1847"/>
    <w:rsid w:val="009E54B2"/>
    <w:rsid w:val="00A10C2D"/>
    <w:rsid w:val="00A14D2D"/>
    <w:rsid w:val="00A429BB"/>
    <w:rsid w:val="00A45313"/>
    <w:rsid w:val="00A52870"/>
    <w:rsid w:val="00A54456"/>
    <w:rsid w:val="00A56DA4"/>
    <w:rsid w:val="00A64CFE"/>
    <w:rsid w:val="00A712D3"/>
    <w:rsid w:val="00A802EC"/>
    <w:rsid w:val="00A83713"/>
    <w:rsid w:val="00A92120"/>
    <w:rsid w:val="00A95785"/>
    <w:rsid w:val="00AA3CA5"/>
    <w:rsid w:val="00AA6EFD"/>
    <w:rsid w:val="00AB0B2F"/>
    <w:rsid w:val="00AB4AD9"/>
    <w:rsid w:val="00AD0D59"/>
    <w:rsid w:val="00AD6472"/>
    <w:rsid w:val="00AF4BCF"/>
    <w:rsid w:val="00B10773"/>
    <w:rsid w:val="00B1110C"/>
    <w:rsid w:val="00B17F70"/>
    <w:rsid w:val="00B57A00"/>
    <w:rsid w:val="00B6795E"/>
    <w:rsid w:val="00B75B50"/>
    <w:rsid w:val="00B76AD3"/>
    <w:rsid w:val="00B8220D"/>
    <w:rsid w:val="00B834B0"/>
    <w:rsid w:val="00BC1A63"/>
    <w:rsid w:val="00BC2B4C"/>
    <w:rsid w:val="00BC2E2E"/>
    <w:rsid w:val="00BC3A14"/>
    <w:rsid w:val="00BC3F5A"/>
    <w:rsid w:val="00BC41D4"/>
    <w:rsid w:val="00BC69D1"/>
    <w:rsid w:val="00BD36C6"/>
    <w:rsid w:val="00BD7AE0"/>
    <w:rsid w:val="00BE1B69"/>
    <w:rsid w:val="00BF09B7"/>
    <w:rsid w:val="00C03534"/>
    <w:rsid w:val="00C15788"/>
    <w:rsid w:val="00C17646"/>
    <w:rsid w:val="00C25FCB"/>
    <w:rsid w:val="00C35417"/>
    <w:rsid w:val="00C44EA8"/>
    <w:rsid w:val="00C4645C"/>
    <w:rsid w:val="00C501B7"/>
    <w:rsid w:val="00C50FB8"/>
    <w:rsid w:val="00C548D1"/>
    <w:rsid w:val="00C70B1C"/>
    <w:rsid w:val="00C80AFA"/>
    <w:rsid w:val="00C81E16"/>
    <w:rsid w:val="00C93DB2"/>
    <w:rsid w:val="00C95A41"/>
    <w:rsid w:val="00CA0C64"/>
    <w:rsid w:val="00CA2221"/>
    <w:rsid w:val="00CC0CBF"/>
    <w:rsid w:val="00CC1207"/>
    <w:rsid w:val="00CC1977"/>
    <w:rsid w:val="00CF500C"/>
    <w:rsid w:val="00D002F5"/>
    <w:rsid w:val="00D07662"/>
    <w:rsid w:val="00D173DE"/>
    <w:rsid w:val="00D319FB"/>
    <w:rsid w:val="00D42D2E"/>
    <w:rsid w:val="00D55E08"/>
    <w:rsid w:val="00D75EE7"/>
    <w:rsid w:val="00D81200"/>
    <w:rsid w:val="00D81B60"/>
    <w:rsid w:val="00D837F0"/>
    <w:rsid w:val="00D85E4C"/>
    <w:rsid w:val="00D87A3F"/>
    <w:rsid w:val="00DA07D9"/>
    <w:rsid w:val="00DA105F"/>
    <w:rsid w:val="00DA6F37"/>
    <w:rsid w:val="00DB4AE4"/>
    <w:rsid w:val="00DC0DAC"/>
    <w:rsid w:val="00DC30E0"/>
    <w:rsid w:val="00DC3D18"/>
    <w:rsid w:val="00DD0FA3"/>
    <w:rsid w:val="00DD5F83"/>
    <w:rsid w:val="00DD6FCC"/>
    <w:rsid w:val="00DE382A"/>
    <w:rsid w:val="00DE59D7"/>
    <w:rsid w:val="00DE6C3A"/>
    <w:rsid w:val="00E02111"/>
    <w:rsid w:val="00E03367"/>
    <w:rsid w:val="00E07532"/>
    <w:rsid w:val="00E07D0D"/>
    <w:rsid w:val="00E159FD"/>
    <w:rsid w:val="00E178DF"/>
    <w:rsid w:val="00E179BE"/>
    <w:rsid w:val="00E42836"/>
    <w:rsid w:val="00E4782E"/>
    <w:rsid w:val="00E70306"/>
    <w:rsid w:val="00E71847"/>
    <w:rsid w:val="00E71D4E"/>
    <w:rsid w:val="00E71F0E"/>
    <w:rsid w:val="00E74696"/>
    <w:rsid w:val="00E771BF"/>
    <w:rsid w:val="00EA0A95"/>
    <w:rsid w:val="00EC05E3"/>
    <w:rsid w:val="00EC354B"/>
    <w:rsid w:val="00EF5F98"/>
    <w:rsid w:val="00F05231"/>
    <w:rsid w:val="00F13F7A"/>
    <w:rsid w:val="00F32B6F"/>
    <w:rsid w:val="00F421D4"/>
    <w:rsid w:val="00F55449"/>
    <w:rsid w:val="00F5748E"/>
    <w:rsid w:val="00F70571"/>
    <w:rsid w:val="00F70AED"/>
    <w:rsid w:val="00F7626D"/>
    <w:rsid w:val="00FB1CD9"/>
    <w:rsid w:val="00FB2061"/>
    <w:rsid w:val="00FB7234"/>
    <w:rsid w:val="00FC0B7E"/>
    <w:rsid w:val="00FC15DB"/>
    <w:rsid w:val="00FC7931"/>
    <w:rsid w:val="00FE13B2"/>
    <w:rsid w:val="00FF3E02"/>
  </w:rsids>
  <m:mathPr>
    <m:mathFont m:val="Arial Black"/>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46" fillcolor="none [3209]" stroke="f" strokecolor="none [3041]">
      <v:fill color="none [3209]"/>
      <v:stroke color="none [3041]" weight="3pt" on="f"/>
      <v:shadow type="perspective" color="none [1609]" opacity=".5" offset="1pt,3pt" offset2="-1pt,2pt"/>
      <o:colormru v:ext="edit" colors="#f9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860F86"/>
    <w:pPr>
      <w:spacing w:after="0" w:line="240" w:lineRule="auto"/>
    </w:pPr>
    <w:rPr>
      <w:rFonts w:ascii="Calibri" w:eastAsia="Cambria" w:hAnsi="Calibri" w:cs="Times New Roman"/>
      <w:sz w:val="18"/>
      <w:szCs w:val="18"/>
      <w:lang w:val="en-US"/>
    </w:rPr>
  </w:style>
  <w:style w:type="paragraph" w:styleId="Heading1">
    <w:name w:val="heading 1"/>
    <w:basedOn w:val="Normal"/>
    <w:next w:val="Normal"/>
    <w:link w:val="Heading1Char"/>
    <w:autoRedefine/>
    <w:uiPriority w:val="9"/>
    <w:qFormat/>
    <w:rsid w:val="00E03367"/>
    <w:pPr>
      <w:keepNext/>
      <w:keepLines/>
      <w:framePr w:hSpace="181" w:wrap="around" w:vAnchor="text" w:hAnchor="margin" w:y="257"/>
      <w:spacing w:line="360" w:lineRule="auto"/>
      <w:outlineLvl w:val="0"/>
    </w:pPr>
    <w:rPr>
      <w:rFonts w:ascii="HelveticaNeueLT Std" w:eastAsiaTheme="majorEastAsia" w:hAnsi="HelveticaNeueLT Std" w:cstheme="majorBidi"/>
      <w:b/>
      <w:bCs/>
      <w:color w:val="E36C0A" w:themeColor="accent6" w:themeShade="BF"/>
      <w:sz w:val="32"/>
      <w:szCs w:val="32"/>
      <w:lang w:val="en-AU"/>
    </w:rPr>
  </w:style>
  <w:style w:type="paragraph" w:styleId="Heading3">
    <w:name w:val="heading 3"/>
    <w:basedOn w:val="Normal"/>
    <w:next w:val="Normal"/>
    <w:link w:val="Heading3Char"/>
    <w:rsid w:val="00C93DB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2"/>
    <w:uiPriority w:val="99"/>
    <w:semiHidden/>
    <w:unhideWhenUsed/>
    <w:rsid w:val="008C2949"/>
    <w:rPr>
      <w:rFonts w:ascii="Tahoma" w:hAnsi="Tahoma" w:cs="Tahoma"/>
      <w:sz w:val="16"/>
      <w:szCs w:val="16"/>
    </w:rPr>
  </w:style>
  <w:style w:type="character" w:customStyle="1" w:styleId="BalloonTextChar">
    <w:name w:val="Balloon Text Char"/>
    <w:basedOn w:val="DefaultParagraphFont"/>
    <w:uiPriority w:val="99"/>
    <w:semiHidden/>
    <w:rsid w:val="00CA5E6B"/>
    <w:rPr>
      <w:rFonts w:ascii="Lucida Grande" w:hAnsi="Lucida Grande"/>
      <w:sz w:val="18"/>
      <w:szCs w:val="18"/>
    </w:rPr>
  </w:style>
  <w:style w:type="character" w:customStyle="1" w:styleId="BalloonTextChar1">
    <w:name w:val="Balloon Text Char1"/>
    <w:basedOn w:val="DefaultParagraphFont"/>
    <w:uiPriority w:val="99"/>
    <w:semiHidden/>
    <w:rsid w:val="00AD1980"/>
    <w:rPr>
      <w:rFonts w:ascii="Lucida Grande" w:hAnsi="Lucida Grande"/>
      <w:sz w:val="18"/>
      <w:szCs w:val="18"/>
    </w:rPr>
  </w:style>
  <w:style w:type="paragraph" w:styleId="Header">
    <w:name w:val="header"/>
    <w:basedOn w:val="Normal"/>
    <w:link w:val="HeaderChar"/>
    <w:uiPriority w:val="99"/>
    <w:unhideWhenUsed/>
    <w:rsid w:val="008C2949"/>
    <w:pPr>
      <w:tabs>
        <w:tab w:val="center" w:pos="4513"/>
        <w:tab w:val="right" w:pos="9026"/>
      </w:tabs>
    </w:pPr>
  </w:style>
  <w:style w:type="character" w:customStyle="1" w:styleId="HeaderChar">
    <w:name w:val="Header Char"/>
    <w:basedOn w:val="DefaultParagraphFont"/>
    <w:link w:val="Header"/>
    <w:uiPriority w:val="99"/>
    <w:rsid w:val="008C2949"/>
  </w:style>
  <w:style w:type="paragraph" w:styleId="Footer">
    <w:name w:val="footer"/>
    <w:basedOn w:val="Normal"/>
    <w:link w:val="FooterChar"/>
    <w:uiPriority w:val="99"/>
    <w:unhideWhenUsed/>
    <w:rsid w:val="008C2949"/>
    <w:pPr>
      <w:tabs>
        <w:tab w:val="center" w:pos="4513"/>
        <w:tab w:val="right" w:pos="9026"/>
      </w:tabs>
    </w:pPr>
  </w:style>
  <w:style w:type="character" w:customStyle="1" w:styleId="FooterChar">
    <w:name w:val="Footer Char"/>
    <w:basedOn w:val="DefaultParagraphFont"/>
    <w:link w:val="Footer"/>
    <w:uiPriority w:val="99"/>
    <w:rsid w:val="008C2949"/>
  </w:style>
  <w:style w:type="character" w:customStyle="1" w:styleId="BalloonTextChar2">
    <w:name w:val="Balloon Text Char2"/>
    <w:basedOn w:val="DefaultParagraphFont"/>
    <w:link w:val="BalloonText"/>
    <w:uiPriority w:val="99"/>
    <w:semiHidden/>
    <w:rsid w:val="008C2949"/>
    <w:rPr>
      <w:rFonts w:ascii="Tahoma" w:hAnsi="Tahoma" w:cs="Tahoma"/>
      <w:sz w:val="16"/>
      <w:szCs w:val="16"/>
    </w:rPr>
  </w:style>
  <w:style w:type="paragraph" w:customStyle="1" w:styleId="Heading-OrangeLarger">
    <w:name w:val="Heading - Orange Larger"/>
    <w:basedOn w:val="Normal"/>
    <w:uiPriority w:val="99"/>
    <w:qFormat/>
    <w:rsid w:val="0044708E"/>
    <w:pPr>
      <w:suppressAutoHyphens/>
      <w:autoSpaceDE w:val="0"/>
      <w:autoSpaceDN w:val="0"/>
      <w:adjustRightInd w:val="0"/>
      <w:spacing w:after="227" w:line="480" w:lineRule="atLeast"/>
      <w:jc w:val="both"/>
      <w:textAlignment w:val="center"/>
    </w:pPr>
    <w:rPr>
      <w:rFonts w:ascii="ITC Officina Sans Book" w:hAnsi="ITC Officina Sans Book" w:cs="ITC Officina Sans Book"/>
      <w:b/>
      <w:bCs/>
      <w:color w:val="E36F1E"/>
      <w:sz w:val="36"/>
      <w:szCs w:val="36"/>
    </w:rPr>
  </w:style>
  <w:style w:type="paragraph" w:customStyle="1" w:styleId="ParagraphStyle-3">
    <w:name w:val="Paragraph Style - 3"/>
    <w:basedOn w:val="Normal"/>
    <w:uiPriority w:val="99"/>
    <w:rsid w:val="0044708E"/>
    <w:pPr>
      <w:autoSpaceDE w:val="0"/>
      <w:autoSpaceDN w:val="0"/>
      <w:adjustRightInd w:val="0"/>
      <w:spacing w:line="320" w:lineRule="atLeast"/>
      <w:textAlignment w:val="center"/>
    </w:pPr>
    <w:rPr>
      <w:rFonts w:ascii="ITC Officina Sans Book" w:hAnsi="ITC Officina Sans Book" w:cs="ITC Officina Sans Book"/>
      <w:color w:val="000000"/>
      <w:szCs w:val="20"/>
      <w:lang w:val="en-GB"/>
    </w:rPr>
  </w:style>
  <w:style w:type="paragraph" w:customStyle="1" w:styleId="OrangeIntro">
    <w:name w:val="Orange Intro"/>
    <w:basedOn w:val="ParagraphStyle-3"/>
    <w:uiPriority w:val="99"/>
    <w:rsid w:val="0044708E"/>
    <w:rPr>
      <w:color w:val="E3761D"/>
      <w:sz w:val="24"/>
      <w:szCs w:val="24"/>
    </w:rPr>
  </w:style>
  <w:style w:type="paragraph" w:customStyle="1" w:styleId="Redquote-smallbold">
    <w:name w:val="Red quote - small bold"/>
    <w:basedOn w:val="ParagraphStyle-3"/>
    <w:uiPriority w:val="99"/>
    <w:rsid w:val="0044708E"/>
    <w:rPr>
      <w:b/>
      <w:bCs/>
      <w:color w:val="943634"/>
    </w:rPr>
  </w:style>
  <w:style w:type="paragraph" w:styleId="ListParagraph">
    <w:name w:val="List Paragraph"/>
    <w:basedOn w:val="Normal"/>
    <w:uiPriority w:val="34"/>
    <w:qFormat/>
    <w:rsid w:val="00CA2221"/>
    <w:pPr>
      <w:numPr>
        <w:numId w:val="4"/>
      </w:numPr>
      <w:ind w:left="4536" w:hanging="708"/>
      <w:contextualSpacing/>
      <w:jc w:val="both"/>
    </w:pPr>
    <w:rPr>
      <w:rFonts w:cs="Arial"/>
      <w:b/>
      <w:color w:val="FFFFFF"/>
      <w:sz w:val="16"/>
      <w:szCs w:val="16"/>
      <w:lang w:val="en-AU"/>
    </w:rPr>
  </w:style>
  <w:style w:type="paragraph" w:styleId="EndnoteText">
    <w:name w:val="endnote text"/>
    <w:basedOn w:val="Normal"/>
    <w:link w:val="EndnoteTextChar"/>
    <w:unhideWhenUsed/>
    <w:rsid w:val="00CC0CBF"/>
    <w:rPr>
      <w:szCs w:val="20"/>
    </w:rPr>
  </w:style>
  <w:style w:type="character" w:customStyle="1" w:styleId="EndnoteTextChar">
    <w:name w:val="Endnote Text Char"/>
    <w:basedOn w:val="DefaultParagraphFont"/>
    <w:link w:val="EndnoteText"/>
    <w:rsid w:val="00CC0CBF"/>
    <w:rPr>
      <w:rFonts w:ascii="Cambria" w:eastAsia="Cambria" w:hAnsi="Cambria" w:cs="Times New Roman"/>
      <w:sz w:val="20"/>
      <w:szCs w:val="20"/>
      <w:lang w:val="en-US"/>
    </w:rPr>
  </w:style>
  <w:style w:type="character" w:styleId="EndnoteReference">
    <w:name w:val="endnote reference"/>
    <w:basedOn w:val="DefaultParagraphFont"/>
    <w:unhideWhenUsed/>
    <w:rsid w:val="00CC0CBF"/>
    <w:rPr>
      <w:vertAlign w:val="superscript"/>
    </w:rPr>
  </w:style>
  <w:style w:type="character" w:customStyle="1" w:styleId="Heading1Char">
    <w:name w:val="Heading 1 Char"/>
    <w:basedOn w:val="DefaultParagraphFont"/>
    <w:link w:val="Heading1"/>
    <w:uiPriority w:val="9"/>
    <w:rsid w:val="00E03367"/>
    <w:rPr>
      <w:rFonts w:ascii="HelveticaNeueLT Std" w:eastAsiaTheme="majorEastAsia" w:hAnsi="HelveticaNeueLT Std" w:cstheme="majorBidi"/>
      <w:b/>
      <w:bCs/>
      <w:color w:val="E36C0A" w:themeColor="accent6" w:themeShade="BF"/>
      <w:sz w:val="32"/>
      <w:szCs w:val="32"/>
    </w:rPr>
  </w:style>
  <w:style w:type="table" w:styleId="TableGrid">
    <w:name w:val="Table Grid"/>
    <w:basedOn w:val="TableNormal"/>
    <w:uiPriority w:val="59"/>
    <w:rsid w:val="00C03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C743D"/>
    <w:rPr>
      <w:sz w:val="16"/>
      <w:szCs w:val="16"/>
    </w:rPr>
  </w:style>
  <w:style w:type="paragraph" w:styleId="CommentText">
    <w:name w:val="annotation text"/>
    <w:basedOn w:val="Normal"/>
    <w:link w:val="CommentTextChar"/>
    <w:uiPriority w:val="99"/>
    <w:semiHidden/>
    <w:unhideWhenUsed/>
    <w:rsid w:val="005C743D"/>
    <w:rPr>
      <w:szCs w:val="20"/>
    </w:rPr>
  </w:style>
  <w:style w:type="character" w:customStyle="1" w:styleId="CommentTextChar">
    <w:name w:val="Comment Text Char"/>
    <w:basedOn w:val="DefaultParagraphFont"/>
    <w:link w:val="CommentText"/>
    <w:uiPriority w:val="99"/>
    <w:semiHidden/>
    <w:rsid w:val="005C743D"/>
    <w:rPr>
      <w:rFonts w:ascii="Arial" w:eastAsia="Cambria"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C743D"/>
    <w:rPr>
      <w:b/>
      <w:bCs/>
    </w:rPr>
  </w:style>
  <w:style w:type="character" w:customStyle="1" w:styleId="CommentSubjectChar">
    <w:name w:val="Comment Subject Char"/>
    <w:basedOn w:val="CommentTextChar"/>
    <w:link w:val="CommentSubject"/>
    <w:uiPriority w:val="99"/>
    <w:semiHidden/>
    <w:rsid w:val="005C743D"/>
    <w:rPr>
      <w:rFonts w:ascii="Arial" w:eastAsia="Cambria" w:hAnsi="Arial" w:cs="Times New Roman"/>
      <w:b/>
      <w:bCs/>
      <w:sz w:val="20"/>
      <w:szCs w:val="20"/>
      <w:lang w:val="en-US"/>
    </w:rPr>
  </w:style>
  <w:style w:type="character" w:styleId="Hyperlink">
    <w:name w:val="Hyperlink"/>
    <w:basedOn w:val="DefaultParagraphFont"/>
    <w:unhideWhenUsed/>
    <w:rsid w:val="00AB0B2F"/>
    <w:rPr>
      <w:color w:val="0000FF" w:themeColor="hyperlink"/>
      <w:u w:val="single"/>
    </w:rPr>
  </w:style>
  <w:style w:type="paragraph" w:styleId="NormalWeb">
    <w:name w:val="Normal (Web)"/>
    <w:basedOn w:val="Normal"/>
    <w:uiPriority w:val="99"/>
    <w:rsid w:val="001F7E91"/>
    <w:pPr>
      <w:spacing w:beforeLines="1" w:afterLines="1"/>
    </w:pPr>
    <w:rPr>
      <w:rFonts w:ascii="Times" w:eastAsiaTheme="minorHAnsi" w:hAnsi="Times"/>
      <w:szCs w:val="20"/>
      <w:lang w:val="en-AU"/>
    </w:rPr>
  </w:style>
  <w:style w:type="paragraph" w:styleId="FootnoteText">
    <w:name w:val="footnote text"/>
    <w:aliases w:val="Texto nota pie Car Car Car,FOOTNOTES,fn,single space,Footnote Text Char Char Char,Footnote Text1 Char,Footnote Text2,Footnote Text Char Char Char1 Char,Footnote Text Char Char Char1,ft,ADB,Footnote Text Quo,Footnote Text Char Cha"/>
    <w:basedOn w:val="Normal"/>
    <w:link w:val="FootnoteTextChar"/>
    <w:uiPriority w:val="99"/>
    <w:unhideWhenUsed/>
    <w:rsid w:val="00860F86"/>
    <w:pPr>
      <w:spacing w:after="200" w:line="276" w:lineRule="auto"/>
    </w:pPr>
    <w:rPr>
      <w:rFonts w:eastAsia="Calibri"/>
      <w:szCs w:val="20"/>
    </w:rPr>
  </w:style>
  <w:style w:type="character" w:customStyle="1" w:styleId="FootnoteTextChar">
    <w:name w:val="Footnote Text Char"/>
    <w:aliases w:val="Texto nota pie Car Car Car Char,FOOTNOTES Char,fn Char,single space Char,Footnote Text Char Char Char Char,Footnote Text1 Char Char,Footnote Text2 Char,Footnote Text Char Char Char1 Char Char,Footnote Text Char Char Char1 Char1"/>
    <w:basedOn w:val="DefaultParagraphFont"/>
    <w:link w:val="FootnoteText"/>
    <w:uiPriority w:val="99"/>
    <w:rsid w:val="00860F86"/>
    <w:rPr>
      <w:rFonts w:ascii="Calibri" w:eastAsia="Calibri" w:hAnsi="Calibri" w:cs="Times New Roman"/>
      <w:sz w:val="18"/>
      <w:szCs w:val="20"/>
      <w:lang w:val="en-US"/>
    </w:rPr>
  </w:style>
  <w:style w:type="character" w:styleId="FootnoteReference">
    <w:name w:val="footnote reference"/>
    <w:aliases w:val="ftref,note bp,BVI fnr (文字) (文字) Char (文字) Char Char1 Char Char Char Char Char Char Char1 Char Char Char1 Char Char,BVI fnr Car,BVI fnr Car Car Car,BVI fnr Car Car,BVI fnr Car Car Car Car Car, BVI fnr Car, BVI fnr Car Car Car,Ref"/>
    <w:link w:val="BVIfnr"/>
    <w:uiPriority w:val="99"/>
    <w:unhideWhenUsed/>
    <w:rsid w:val="007D4DB2"/>
    <w:rPr>
      <w:vertAlign w:val="superscript"/>
    </w:rPr>
  </w:style>
  <w:style w:type="paragraph" w:customStyle="1" w:styleId="Default">
    <w:name w:val="Default"/>
    <w:rsid w:val="00DC3D18"/>
    <w:pPr>
      <w:widowControl w:val="0"/>
      <w:autoSpaceDE w:val="0"/>
      <w:autoSpaceDN w:val="0"/>
      <w:adjustRightInd w:val="0"/>
      <w:spacing w:after="0" w:line="240" w:lineRule="auto"/>
    </w:pPr>
    <w:rPr>
      <w:rFonts w:ascii="Arial" w:eastAsiaTheme="minorEastAsia" w:hAnsi="Arial" w:cs="Arial"/>
      <w:color w:val="000000"/>
      <w:sz w:val="24"/>
      <w:szCs w:val="24"/>
      <w:lang w:val="fr-FR" w:eastAsia="fr-FR"/>
    </w:rPr>
  </w:style>
  <w:style w:type="paragraph" w:customStyle="1" w:styleId="BVIfnr">
    <w:name w:val="BVI fnr"/>
    <w:aliases w:val="BVI fnr Car Car Car Car, BVI fnr, BVI fnr Car Car, BVI fnr Car Car Car Car, BVI fnr Car Car Car Car Char,BVI fnr Car Car Car Car Car1, BVI fnr Char,BVI fnr Char,BVI fnr Car Car1, BVI fnr Car Car Car Car Char Car Car Car,BVI fnr Car Car1 Car1"/>
    <w:basedOn w:val="Normal"/>
    <w:link w:val="FootnoteReference"/>
    <w:uiPriority w:val="99"/>
    <w:rsid w:val="004477E1"/>
    <w:pPr>
      <w:shd w:val="clear" w:color="auto" w:fill="E6E6E6"/>
      <w:spacing w:after="160" w:line="240" w:lineRule="exact"/>
    </w:pPr>
    <w:rPr>
      <w:rFonts w:asciiTheme="minorHAnsi" w:eastAsiaTheme="minorHAnsi" w:hAnsiTheme="minorHAnsi" w:cstheme="minorBidi"/>
      <w:sz w:val="22"/>
      <w:szCs w:val="22"/>
      <w:vertAlign w:val="superscript"/>
      <w:lang w:val="en-AU"/>
    </w:rPr>
  </w:style>
  <w:style w:type="paragraph" w:styleId="NoSpacing">
    <w:name w:val="No Spacing"/>
    <w:uiPriority w:val="1"/>
    <w:qFormat/>
    <w:rsid w:val="004477E1"/>
    <w:pPr>
      <w:spacing w:after="0" w:line="240" w:lineRule="auto"/>
    </w:pPr>
    <w:rPr>
      <w:rFonts w:ascii="Calibri" w:eastAsia="Calibri" w:hAnsi="Calibri" w:cs="Times New Roman"/>
      <w:lang w:val="fr-FR"/>
    </w:rPr>
  </w:style>
  <w:style w:type="character" w:customStyle="1" w:styleId="apple-converted-space">
    <w:name w:val="apple-converted-space"/>
    <w:basedOn w:val="DefaultParagraphFont"/>
    <w:rsid w:val="0072434E"/>
  </w:style>
  <w:style w:type="paragraph" w:customStyle="1" w:styleId="a">
    <w:name w:val=".."/>
    <w:basedOn w:val="Normal"/>
    <w:next w:val="Normal"/>
    <w:uiPriority w:val="99"/>
    <w:rsid w:val="002D1F0C"/>
    <w:pPr>
      <w:autoSpaceDE w:val="0"/>
      <w:autoSpaceDN w:val="0"/>
      <w:adjustRightInd w:val="0"/>
    </w:pPr>
    <w:rPr>
      <w:rFonts w:ascii="Times New Roman" w:eastAsiaTheme="minorHAnsi" w:hAnsi="Times New Roman" w:cs="DokChampa"/>
      <w:sz w:val="24"/>
      <w:szCs w:val="24"/>
      <w:lang w:bidi="lo-LA"/>
    </w:rPr>
  </w:style>
  <w:style w:type="character" w:customStyle="1" w:styleId="Heading3Char">
    <w:name w:val="Heading 3 Char"/>
    <w:basedOn w:val="DefaultParagraphFont"/>
    <w:link w:val="Heading3"/>
    <w:rsid w:val="00C93DB2"/>
    <w:rPr>
      <w:rFonts w:asciiTheme="majorHAnsi" w:eastAsiaTheme="majorEastAsia" w:hAnsiTheme="majorHAnsi" w:cstheme="majorBidi"/>
      <w:color w:val="243F60" w:themeColor="accent1" w:themeShade="7F"/>
      <w:sz w:val="24"/>
      <w:szCs w:val="24"/>
      <w:lang w:val="en-US"/>
    </w:rPr>
  </w:style>
</w:styles>
</file>

<file path=word/webSettings.xml><?xml version="1.0" encoding="utf-8"?>
<w:webSettings xmlns:r="http://schemas.openxmlformats.org/officeDocument/2006/relationships" xmlns:w="http://schemas.openxmlformats.org/wordprocessingml/2006/main">
  <w:divs>
    <w:div w:id="203909114">
      <w:bodyDiv w:val="1"/>
      <w:marLeft w:val="0"/>
      <w:marRight w:val="0"/>
      <w:marTop w:val="0"/>
      <w:marBottom w:val="0"/>
      <w:divBdr>
        <w:top w:val="none" w:sz="0" w:space="0" w:color="auto"/>
        <w:left w:val="none" w:sz="0" w:space="0" w:color="auto"/>
        <w:bottom w:val="none" w:sz="0" w:space="0" w:color="auto"/>
        <w:right w:val="none" w:sz="0" w:space="0" w:color="auto"/>
      </w:divBdr>
    </w:div>
    <w:div w:id="1544098755">
      <w:bodyDiv w:val="1"/>
      <w:marLeft w:val="0"/>
      <w:marRight w:val="0"/>
      <w:marTop w:val="0"/>
      <w:marBottom w:val="0"/>
      <w:divBdr>
        <w:top w:val="none" w:sz="0" w:space="0" w:color="auto"/>
        <w:left w:val="none" w:sz="0" w:space="0" w:color="auto"/>
        <w:bottom w:val="none" w:sz="0" w:space="0" w:color="auto"/>
        <w:right w:val="none" w:sz="0" w:space="0" w:color="auto"/>
      </w:divBdr>
    </w:div>
    <w:div w:id="169714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iknowpolitics.org/en/news-events/calendar/legislative-elections-mali" TargetMode="External"/><Relationship Id="rId2" Type="http://schemas.openxmlformats.org/officeDocument/2006/relationships/hyperlink" Target="https://dhsprogram.com/Where-We-Work/Country-Main.cfm?ctry_id=25&amp;c=Mali&amp;Country=Mali&amp;cn=&amp;r=1" TargetMode="External"/><Relationship Id="rId3" Type="http://schemas.openxmlformats.org/officeDocument/2006/relationships/hyperlink" Target="https://www.unfpa.org/sites/default/files/resource-pdf/ChildMarriage_8_annex1_indicator-definition.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6671DA-AB10-4E73-A210-BFB93F764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1125</Words>
  <Characters>6418</Characters>
  <Application>Microsoft Word 12.0.0</Application>
  <DocSecurity>0</DocSecurity>
  <Lines>53</Lines>
  <Paragraphs>12</Paragraphs>
  <ScaleCrop>false</ScaleCrop>
  <HeadingPairs>
    <vt:vector size="6" baseType="variant">
      <vt:variant>
        <vt:lpstr>Title</vt:lpstr>
      </vt:variant>
      <vt:variant>
        <vt:i4>1</vt:i4>
      </vt:variant>
      <vt:variant>
        <vt:lpstr>Titre</vt:lpstr>
      </vt:variant>
      <vt:variant>
        <vt:i4>1</vt:i4>
      </vt:variant>
      <vt:variant>
        <vt:lpstr>Titres</vt:lpstr>
      </vt:variant>
      <vt:variant>
        <vt:i4>2</vt:i4>
      </vt:variant>
    </vt:vector>
  </HeadingPairs>
  <TitlesOfParts>
    <vt:vector size="4" baseType="lpstr">
      <vt:lpstr/>
      <vt:lpstr/>
      <vt:lpstr/>
      <vt:lpstr>Gender in Brief</vt:lpstr>
    </vt:vector>
  </TitlesOfParts>
  <Company>CARE Australia</Company>
  <LinksUpToDate>false</LinksUpToDate>
  <CharactersWithSpaces>7881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ingridb</dc:creator>
  <cp:lastModifiedBy>laura quay</cp:lastModifiedBy>
  <cp:revision>2</cp:revision>
  <cp:lastPrinted>2013-09-26T03:11:00Z</cp:lastPrinted>
  <dcterms:created xsi:type="dcterms:W3CDTF">2017-02-27T03:54:00Z</dcterms:created>
  <dcterms:modified xsi:type="dcterms:W3CDTF">2017-02-27T03:54:00Z</dcterms:modified>
</cp:coreProperties>
</file>