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7092" w:rsidRPr="00F66D9C" w:rsidRDefault="00267092" w:rsidP="00267092">
      <w:pPr>
        <w:pStyle w:val="ListParagraph"/>
        <w:numPr>
          <w:ilvl w:val="0"/>
          <w:numId w:val="4"/>
          <w:numberingChange w:id="0" w:author="laura quay" w:date="2017-03-03T14:12:00Z" w:original=""/>
        </w:numPr>
        <w:ind w:left="4536" w:hanging="708"/>
        <w:jc w:val="both"/>
        <w:rPr>
          <w:rFonts w:cs="Arial"/>
          <w:b/>
          <w:color w:val="FFFFFF" w:themeColor="background1"/>
        </w:rPr>
      </w:pPr>
      <w:r w:rsidRPr="00F66D9C">
        <w:rPr>
          <w:rFonts w:cs="Arial"/>
          <w:b/>
          <w:color w:val="FFFFFF" w:themeColor="background1"/>
        </w:rPr>
        <w:t xml:space="preserve">Population </w:t>
      </w:r>
      <w:r w:rsidR="00AD6472" w:rsidRPr="00F66D9C">
        <w:rPr>
          <w:rFonts w:cs="Arial"/>
          <w:b/>
          <w:color w:val="FFFFFF" w:themeColor="background1"/>
        </w:rPr>
        <w:t xml:space="preserve">Sex </w:t>
      </w:r>
      <w:r w:rsidRPr="00F66D9C">
        <w:rPr>
          <w:rFonts w:cs="Arial"/>
          <w:b/>
          <w:color w:val="FFFFFF" w:themeColor="background1"/>
        </w:rPr>
        <w:t xml:space="preserve">Disaggregation: </w:t>
      </w:r>
      <w:r w:rsidR="00E73664">
        <w:rPr>
          <w:rFonts w:cs="Arial"/>
          <w:b/>
          <w:color w:val="FFFFFF" w:themeColor="background1"/>
        </w:rPr>
        <w:t>49.0% male to 51.0</w:t>
      </w:r>
      <w:r w:rsidRPr="00F66D9C">
        <w:rPr>
          <w:rFonts w:cs="Arial"/>
          <w:b/>
          <w:color w:val="FFFFFF" w:themeColor="background1"/>
        </w:rPr>
        <w:t>% female</w:t>
      </w:r>
      <w:r w:rsidR="003605B9" w:rsidRPr="00F66D9C">
        <w:rPr>
          <w:rStyle w:val="EndnoteReference"/>
          <w:rFonts w:cs="Arial"/>
          <w:b/>
          <w:color w:val="FFFFFF" w:themeColor="background1"/>
        </w:rPr>
        <w:endnoteReference w:id="2"/>
      </w:r>
    </w:p>
    <w:p w:rsidR="00267092" w:rsidRPr="00F66D9C" w:rsidRDefault="00267092" w:rsidP="00267092">
      <w:pPr>
        <w:pStyle w:val="ListParagraph"/>
        <w:numPr>
          <w:ilvl w:val="0"/>
          <w:numId w:val="4"/>
          <w:numberingChange w:id="1" w:author="laura quay" w:date="2017-03-03T14:12:00Z" w:original=""/>
        </w:numPr>
        <w:ind w:left="4536" w:hanging="708"/>
        <w:jc w:val="both"/>
        <w:rPr>
          <w:rFonts w:cs="Arial"/>
          <w:b/>
          <w:color w:val="FFFFFF" w:themeColor="background1"/>
        </w:rPr>
      </w:pPr>
      <w:r w:rsidRPr="00F66D9C">
        <w:rPr>
          <w:rFonts w:cs="Arial"/>
          <w:b/>
          <w:color w:val="FFFFFF" w:themeColor="background1"/>
        </w:rPr>
        <w:t xml:space="preserve">Population Age Disaggregation: </w:t>
      </w:r>
      <w:r w:rsidR="001936C9">
        <w:rPr>
          <w:rFonts w:cs="Arial"/>
          <w:b/>
          <w:color w:val="FFFFFF" w:themeColor="background1"/>
        </w:rPr>
        <w:t xml:space="preserve">&lt;5 years 17.2%; </w:t>
      </w:r>
      <w:r w:rsidR="008D1B5E">
        <w:rPr>
          <w:rFonts w:cs="Arial"/>
          <w:b/>
          <w:color w:val="FFFFFF" w:themeColor="background1"/>
        </w:rPr>
        <w:t>5-19 years 41.6%; 20-55 years 33.8%; 55+ years 7.4%</w:t>
      </w:r>
      <w:r w:rsidR="008D1B5E">
        <w:rPr>
          <w:rStyle w:val="EndnoteReference"/>
          <w:rFonts w:cs="Arial"/>
          <w:b/>
          <w:color w:val="FFFFFF" w:themeColor="background1"/>
        </w:rPr>
        <w:endnoteReference w:id="3"/>
      </w:r>
    </w:p>
    <w:p w:rsidR="00267092" w:rsidRPr="00F66D9C" w:rsidRDefault="00267092" w:rsidP="00267092">
      <w:pPr>
        <w:pStyle w:val="ListParagraph"/>
        <w:numPr>
          <w:ilvl w:val="0"/>
          <w:numId w:val="4"/>
          <w:numberingChange w:id="2" w:author="laura quay" w:date="2017-03-03T14:12:00Z" w:original=""/>
        </w:numPr>
        <w:ind w:left="4536" w:hanging="708"/>
        <w:jc w:val="both"/>
        <w:rPr>
          <w:rFonts w:cs="Arial"/>
          <w:b/>
          <w:color w:val="FFFFFF" w:themeColor="background1"/>
        </w:rPr>
      </w:pPr>
      <w:r w:rsidRPr="00F66D9C">
        <w:rPr>
          <w:rFonts w:cs="Arial"/>
          <w:b/>
          <w:color w:val="FFFFFF" w:themeColor="background1"/>
        </w:rPr>
        <w:t xml:space="preserve">Average household </w:t>
      </w:r>
      <w:r w:rsidR="00D42D2E" w:rsidRPr="00F66D9C">
        <w:rPr>
          <w:rFonts w:cs="Arial"/>
          <w:b/>
          <w:color w:val="FFFFFF" w:themeColor="background1"/>
        </w:rPr>
        <w:t>si</w:t>
      </w:r>
      <w:r w:rsidR="00EB4898" w:rsidRPr="00F66D9C">
        <w:rPr>
          <w:rFonts w:cs="Arial"/>
          <w:b/>
          <w:color w:val="FFFFFF" w:themeColor="background1"/>
        </w:rPr>
        <w:t>z</w:t>
      </w:r>
      <w:r w:rsidR="00A079AC" w:rsidRPr="00F66D9C">
        <w:rPr>
          <w:rFonts w:cs="Arial"/>
          <w:b/>
          <w:color w:val="FFFFFF" w:themeColor="background1"/>
        </w:rPr>
        <w:t>e: 4.4</w:t>
      </w:r>
      <w:r w:rsidR="003605B9" w:rsidRPr="00F66D9C">
        <w:rPr>
          <w:rStyle w:val="EndnoteReference"/>
          <w:rFonts w:cs="Arial"/>
          <w:b/>
          <w:color w:val="FFFFFF" w:themeColor="background1"/>
        </w:rPr>
        <w:endnoteReference w:id="4"/>
      </w:r>
    </w:p>
    <w:p w:rsidR="00267092" w:rsidRPr="00F66D9C" w:rsidRDefault="00D42D2E" w:rsidP="00267092">
      <w:pPr>
        <w:pStyle w:val="ListParagraph"/>
        <w:numPr>
          <w:ilvl w:val="0"/>
          <w:numId w:val="4"/>
          <w:numberingChange w:id="3" w:author="laura quay" w:date="2017-03-03T14:12:00Z" w:original=""/>
        </w:numPr>
        <w:ind w:left="4536" w:hanging="708"/>
        <w:jc w:val="both"/>
        <w:rPr>
          <w:rFonts w:cs="Arial"/>
          <w:b/>
          <w:color w:val="FFFFFF" w:themeColor="background1"/>
        </w:rPr>
      </w:pPr>
      <w:r w:rsidRPr="00F66D9C">
        <w:rPr>
          <w:rFonts w:cs="Arial"/>
          <w:b/>
          <w:color w:val="FFFFFF" w:themeColor="background1"/>
        </w:rPr>
        <w:t xml:space="preserve">Female headed </w:t>
      </w:r>
      <w:r w:rsidR="003605B9" w:rsidRPr="00F66D9C">
        <w:rPr>
          <w:rFonts w:cs="Arial"/>
          <w:b/>
          <w:color w:val="FFFFFF" w:themeColor="background1"/>
        </w:rPr>
        <w:t xml:space="preserve">households: </w:t>
      </w:r>
      <w:r w:rsidR="00A079AC" w:rsidRPr="00F66D9C">
        <w:rPr>
          <w:rFonts w:cs="Arial"/>
          <w:b/>
          <w:color w:val="FFFFFF" w:themeColor="background1"/>
        </w:rPr>
        <w:t>22</w:t>
      </w:r>
      <w:r w:rsidR="00267092" w:rsidRPr="00F66D9C">
        <w:rPr>
          <w:rFonts w:cs="Arial"/>
          <w:b/>
          <w:color w:val="FFFFFF" w:themeColor="background1"/>
        </w:rPr>
        <w:t>%</w:t>
      </w:r>
      <w:r w:rsidR="00A079AC" w:rsidRPr="00F66D9C">
        <w:rPr>
          <w:rStyle w:val="EndnoteReference"/>
          <w:rFonts w:cs="Arial"/>
          <w:b/>
          <w:color w:val="FFFFFF" w:themeColor="background1"/>
        </w:rPr>
        <w:endnoteReference w:id="5"/>
      </w:r>
    </w:p>
    <w:p w:rsidR="00C80AFA" w:rsidRPr="00F66D9C" w:rsidRDefault="00C80AFA" w:rsidP="00267092">
      <w:pPr>
        <w:pStyle w:val="ListParagraph"/>
        <w:numPr>
          <w:ilvl w:val="0"/>
          <w:numId w:val="4"/>
          <w:numberingChange w:id="4" w:author="laura quay" w:date="2017-03-03T14:12:00Z" w:original=""/>
        </w:numPr>
        <w:ind w:left="4536" w:hanging="708"/>
        <w:jc w:val="both"/>
        <w:rPr>
          <w:rFonts w:cs="Arial"/>
          <w:b/>
          <w:color w:val="FFFFFF" w:themeColor="background1"/>
        </w:rPr>
      </w:pPr>
      <w:r w:rsidRPr="00F66D9C">
        <w:rPr>
          <w:rFonts w:cs="Arial"/>
          <w:b/>
          <w:color w:val="FFFFFF" w:themeColor="background1"/>
        </w:rPr>
        <w:t>Lit</w:t>
      </w:r>
      <w:r w:rsidR="00A079AC" w:rsidRPr="00F66D9C">
        <w:rPr>
          <w:rFonts w:cs="Arial"/>
          <w:b/>
          <w:color w:val="FFFFFF" w:themeColor="background1"/>
        </w:rPr>
        <w:t>eracy Rates 15-24 y</w:t>
      </w:r>
      <w:r w:rsidR="003712B3" w:rsidRPr="00F66D9C">
        <w:rPr>
          <w:rFonts w:cs="Arial"/>
          <w:b/>
          <w:color w:val="FFFFFF" w:themeColor="background1"/>
        </w:rPr>
        <w:t>ea</w:t>
      </w:r>
      <w:r w:rsidR="00A079AC" w:rsidRPr="00F66D9C">
        <w:rPr>
          <w:rFonts w:cs="Arial"/>
          <w:b/>
          <w:color w:val="FFFFFF" w:themeColor="background1"/>
        </w:rPr>
        <w:t>rs: male 69</w:t>
      </w:r>
      <w:r w:rsidRPr="00F66D9C">
        <w:rPr>
          <w:rFonts w:cs="Arial"/>
          <w:b/>
          <w:color w:val="FFFFFF" w:themeColor="background1"/>
        </w:rPr>
        <w:t>%;</w:t>
      </w:r>
      <w:r w:rsidR="00A079AC" w:rsidRPr="00F66D9C">
        <w:rPr>
          <w:rFonts w:cs="Arial"/>
          <w:b/>
          <w:color w:val="FFFFFF" w:themeColor="background1"/>
        </w:rPr>
        <w:t xml:space="preserve"> female 58</w:t>
      </w:r>
      <w:r w:rsidRPr="00F66D9C">
        <w:rPr>
          <w:rFonts w:cs="Arial"/>
          <w:b/>
          <w:color w:val="FFFFFF" w:themeColor="background1"/>
        </w:rPr>
        <w:t>%</w:t>
      </w:r>
      <w:r w:rsidR="00A079AC" w:rsidRPr="00F66D9C">
        <w:rPr>
          <w:rStyle w:val="EndnoteReference"/>
          <w:rFonts w:cs="Arial"/>
          <w:b/>
          <w:color w:val="FFFFFF" w:themeColor="background1"/>
        </w:rPr>
        <w:endnoteReference w:id="6"/>
      </w:r>
    </w:p>
    <w:p w:rsidR="00267092" w:rsidRPr="00F66D9C" w:rsidRDefault="00267092" w:rsidP="00267092">
      <w:pPr>
        <w:pStyle w:val="ListParagraph"/>
        <w:numPr>
          <w:ilvl w:val="0"/>
          <w:numId w:val="4"/>
          <w:numberingChange w:id="5" w:author="laura quay" w:date="2017-03-03T14:12:00Z" w:original=""/>
        </w:numPr>
        <w:ind w:left="4536" w:hanging="708"/>
        <w:jc w:val="both"/>
        <w:rPr>
          <w:rFonts w:cs="Arial"/>
          <w:b/>
          <w:color w:val="FFFFFF" w:themeColor="background1"/>
        </w:rPr>
      </w:pPr>
      <w:r w:rsidRPr="00F66D9C">
        <w:rPr>
          <w:rFonts w:cs="Arial"/>
          <w:b/>
          <w:color w:val="FFFFFF" w:themeColor="background1"/>
        </w:rPr>
        <w:t>Infant Mortality rates:</w:t>
      </w:r>
      <w:r w:rsidR="00A079AC" w:rsidRPr="00F66D9C">
        <w:rPr>
          <w:rFonts w:cs="Arial"/>
          <w:b/>
          <w:color w:val="FFFFFF" w:themeColor="background1"/>
        </w:rPr>
        <w:t xml:space="preserve"> 42</w:t>
      </w:r>
      <w:r w:rsidRPr="00F66D9C">
        <w:rPr>
          <w:rFonts w:cs="Arial"/>
          <w:b/>
          <w:color w:val="FFFFFF" w:themeColor="background1"/>
        </w:rPr>
        <w:t xml:space="preserve"> per 1000 live births</w:t>
      </w:r>
      <w:r w:rsidR="00A079AC" w:rsidRPr="00F66D9C">
        <w:rPr>
          <w:rStyle w:val="EndnoteReference"/>
          <w:rFonts w:cs="Arial"/>
          <w:b/>
          <w:color w:val="FFFFFF" w:themeColor="background1"/>
        </w:rPr>
        <w:endnoteReference w:id="7"/>
      </w:r>
      <w:r w:rsidRPr="00F66D9C">
        <w:rPr>
          <w:color w:val="FFFFFF" w:themeColor="background1"/>
        </w:rPr>
        <w:t xml:space="preserve"> </w:t>
      </w:r>
    </w:p>
    <w:p w:rsidR="002971A7" w:rsidRPr="00F66D9C" w:rsidRDefault="00E73664" w:rsidP="00267092">
      <w:pPr>
        <w:pStyle w:val="ListParagraph"/>
        <w:numPr>
          <w:ilvl w:val="0"/>
          <w:numId w:val="4"/>
          <w:numberingChange w:id="6" w:author="laura quay" w:date="2017-03-03T14:12:00Z" w:original=""/>
        </w:numPr>
        <w:ind w:left="4536" w:hanging="708"/>
        <w:jc w:val="both"/>
        <w:rPr>
          <w:rFonts w:cs="Arial"/>
          <w:b/>
          <w:color w:val="FFFFFF" w:themeColor="background1"/>
        </w:rPr>
      </w:pPr>
      <w:r>
        <w:rPr>
          <w:rFonts w:cs="Arial"/>
          <w:b/>
          <w:color w:val="FFFFFF" w:themeColor="background1"/>
        </w:rPr>
        <w:t>Maternal Mortality rate: 574</w:t>
      </w:r>
      <w:r w:rsidR="002971A7" w:rsidRPr="00F66D9C">
        <w:rPr>
          <w:rFonts w:cs="Arial"/>
          <w:b/>
          <w:color w:val="FFFFFF" w:themeColor="background1"/>
        </w:rPr>
        <w:t xml:space="preserve"> per 100</w:t>
      </w:r>
      <w:r w:rsidR="003712B3" w:rsidRPr="00F66D9C">
        <w:rPr>
          <w:rFonts w:cs="Arial"/>
          <w:b/>
          <w:color w:val="FFFFFF" w:themeColor="background1"/>
        </w:rPr>
        <w:t>,00</w:t>
      </w:r>
      <w:r w:rsidR="002971A7" w:rsidRPr="00F66D9C">
        <w:rPr>
          <w:rFonts w:cs="Arial"/>
          <w:b/>
          <w:color w:val="FFFFFF" w:themeColor="background1"/>
        </w:rPr>
        <w:t>0 live births</w:t>
      </w:r>
      <w:r w:rsidR="003712B3" w:rsidRPr="00F66D9C">
        <w:rPr>
          <w:rStyle w:val="EndnoteReference"/>
          <w:rFonts w:cs="Arial"/>
          <w:b/>
          <w:color w:val="FFFFFF" w:themeColor="background1"/>
        </w:rPr>
        <w:endnoteReference w:id="8"/>
      </w:r>
      <w:r w:rsidR="002971A7" w:rsidRPr="00F66D9C">
        <w:rPr>
          <w:rFonts w:cs="Arial"/>
          <w:b/>
          <w:color w:val="FFFFFF" w:themeColor="background1"/>
        </w:rPr>
        <w:t xml:space="preserve"> </w:t>
      </w:r>
    </w:p>
    <w:p w:rsidR="00532BCD" w:rsidRDefault="00532BCD">
      <w:pPr>
        <w:pStyle w:val="Heading1"/>
        <w:rPr>
          <w:sz w:val="12"/>
          <w:szCs w:val="12"/>
          <w:lang w:val="en-US"/>
        </w:rPr>
      </w:pPr>
    </w:p>
    <w:p w:rsidR="00E11EE9" w:rsidRDefault="00E11EE9" w:rsidP="00E11EE9"/>
    <w:p w:rsidR="00E11EE9" w:rsidRPr="00E11EE9" w:rsidRDefault="00E11EE9" w:rsidP="00E11EE9"/>
    <w:p w:rsidR="005D1616" w:rsidRPr="00F66D9C" w:rsidRDefault="00267092" w:rsidP="003605B9">
      <w:pPr>
        <w:pStyle w:val="Heading1"/>
        <w:rPr>
          <w:lang w:val="en-US"/>
        </w:rPr>
      </w:pPr>
      <w:r w:rsidRPr="00F66D9C">
        <w:rPr>
          <w:lang w:val="en-US"/>
        </w:rPr>
        <w:t>Gender in Brief</w:t>
      </w:r>
    </w:p>
    <w:p w:rsidR="00DB689A" w:rsidRPr="00F66D9C" w:rsidRDefault="00BE1B69" w:rsidP="009535BF">
      <w:pPr>
        <w:jc w:val="both"/>
        <w:rPr>
          <w:rFonts w:cs="Arial"/>
          <w:color w:val="000000" w:themeColor="text1"/>
          <w:szCs w:val="20"/>
        </w:rPr>
      </w:pPr>
      <w:r w:rsidRPr="00F66D9C">
        <w:rPr>
          <w:rFonts w:cs="Arial"/>
          <w:b/>
          <w:color w:val="000000" w:themeColor="text1"/>
          <w:szCs w:val="20"/>
        </w:rPr>
        <w:t>Introduction</w:t>
      </w:r>
      <w:r w:rsidR="00C80AFA" w:rsidRPr="00F66D9C">
        <w:rPr>
          <w:rFonts w:cs="Arial"/>
          <w:b/>
          <w:color w:val="000000" w:themeColor="text1"/>
          <w:szCs w:val="20"/>
        </w:rPr>
        <w:t>:</w:t>
      </w:r>
    </w:p>
    <w:p w:rsidR="003C5C5B" w:rsidRPr="00F66D9C" w:rsidRDefault="00795FAE" w:rsidP="004C23CC">
      <w:pPr>
        <w:jc w:val="both"/>
        <w:rPr>
          <w:rFonts w:cs="Arial"/>
          <w:szCs w:val="20"/>
        </w:rPr>
      </w:pPr>
      <w:r w:rsidRPr="00F66D9C">
        <w:rPr>
          <w:rFonts w:cs="Arial"/>
          <w:szCs w:val="20"/>
        </w:rPr>
        <w:t xml:space="preserve">Malawi, located in Southern Africa </w:t>
      </w:r>
      <w:r w:rsidR="00A42348">
        <w:rPr>
          <w:rFonts w:cs="Arial"/>
          <w:szCs w:val="20"/>
        </w:rPr>
        <w:t>and bordered</w:t>
      </w:r>
      <w:r w:rsidRPr="00F66D9C">
        <w:rPr>
          <w:rFonts w:cs="Arial"/>
          <w:szCs w:val="20"/>
        </w:rPr>
        <w:t xml:space="preserve"> by the huge Lake Malawi, is home to a diverse population of more than 18 million.</w:t>
      </w:r>
      <w:r w:rsidR="003A2FEC">
        <w:rPr>
          <w:rFonts w:cs="Arial"/>
          <w:szCs w:val="20"/>
        </w:rPr>
        <w:t xml:space="preserve"> The country is home to a variety of languages, religions, and ethnic groups.</w:t>
      </w:r>
      <w:r w:rsidRPr="00F66D9C">
        <w:rPr>
          <w:rFonts w:cs="Arial"/>
          <w:szCs w:val="20"/>
        </w:rPr>
        <w:t xml:space="preserve"> </w:t>
      </w:r>
      <w:r w:rsidR="00A42348">
        <w:rPr>
          <w:rFonts w:cs="Arial"/>
          <w:szCs w:val="20"/>
        </w:rPr>
        <w:t>Extremely dependent on foreign aid, efforts have been made in recent years to draw more attention to gender inequality in Malawi. However, the country still ranks 173 out of 178 on the Gender Inequality Index as of 2014.</w:t>
      </w:r>
      <w:r w:rsidR="00A42348">
        <w:rPr>
          <w:rStyle w:val="EndnoteReference"/>
          <w:rFonts w:cs="Arial"/>
          <w:szCs w:val="20"/>
        </w:rPr>
        <w:endnoteReference w:id="9"/>
      </w:r>
      <w:r w:rsidR="00A42348">
        <w:rPr>
          <w:rFonts w:cs="Arial"/>
          <w:szCs w:val="20"/>
        </w:rPr>
        <w:t xml:space="preserve"> </w:t>
      </w:r>
      <w:r w:rsidR="00654868" w:rsidRPr="00F66D9C">
        <w:rPr>
          <w:rFonts w:cs="Arial"/>
          <w:szCs w:val="20"/>
        </w:rPr>
        <w:t>With a rural fertility rate of 4.8 and an urban rate of 3.0, e</w:t>
      </w:r>
      <w:r w:rsidRPr="00F66D9C">
        <w:rPr>
          <w:rFonts w:cs="Arial"/>
          <w:szCs w:val="20"/>
        </w:rPr>
        <w:t xml:space="preserve">nvironmental concerns, the spread of HIV/AIDS, and widespread corruption have left the country struggling to improve </w:t>
      </w:r>
      <w:r w:rsidR="00654868" w:rsidRPr="00F66D9C">
        <w:rPr>
          <w:rFonts w:cs="Arial"/>
          <w:szCs w:val="20"/>
        </w:rPr>
        <w:t>outcomes</w:t>
      </w:r>
      <w:r w:rsidRPr="00F66D9C">
        <w:rPr>
          <w:rFonts w:cs="Arial"/>
          <w:szCs w:val="20"/>
        </w:rPr>
        <w:t xml:space="preserve"> related to health and education for the fast-growing population.</w:t>
      </w:r>
      <w:r w:rsidR="0040341E" w:rsidRPr="00F66D9C">
        <w:rPr>
          <w:rStyle w:val="EndnoteReference"/>
          <w:rFonts w:cs="Arial"/>
          <w:szCs w:val="20"/>
        </w:rPr>
        <w:endnoteReference w:id="10"/>
      </w:r>
      <w:r w:rsidR="003A2FEC">
        <w:rPr>
          <w:rFonts w:cs="Arial"/>
          <w:szCs w:val="20"/>
        </w:rPr>
        <w:t xml:space="preserve"> </w:t>
      </w:r>
    </w:p>
    <w:p w:rsidR="00795FAE" w:rsidRPr="00F66D9C" w:rsidRDefault="00795FAE" w:rsidP="009535BF">
      <w:pPr>
        <w:jc w:val="both"/>
        <w:rPr>
          <w:rFonts w:cs="Arial"/>
          <w:szCs w:val="20"/>
        </w:rPr>
      </w:pPr>
    </w:p>
    <w:p w:rsidR="00DB689A" w:rsidRPr="00F66D9C" w:rsidRDefault="00BE1B69" w:rsidP="009535BF">
      <w:pPr>
        <w:jc w:val="both"/>
        <w:rPr>
          <w:rFonts w:cs="Arial"/>
          <w:szCs w:val="20"/>
        </w:rPr>
      </w:pPr>
      <w:r w:rsidRPr="00F66D9C">
        <w:rPr>
          <w:rFonts w:cs="Arial"/>
          <w:b/>
          <w:szCs w:val="20"/>
        </w:rPr>
        <w:t>Gender Roles and Responsibilities</w:t>
      </w:r>
      <w:r w:rsidR="003C5C5B" w:rsidRPr="00F66D9C">
        <w:rPr>
          <w:rFonts w:cs="Arial"/>
          <w:szCs w:val="20"/>
        </w:rPr>
        <w:t>:</w:t>
      </w:r>
    </w:p>
    <w:p w:rsidR="004C23CC" w:rsidRDefault="008314F3" w:rsidP="004C23CC">
      <w:pPr>
        <w:jc w:val="both"/>
        <w:rPr>
          <w:rFonts w:cs="Arial"/>
          <w:szCs w:val="20"/>
        </w:rPr>
      </w:pPr>
      <w:r w:rsidRPr="00F66D9C">
        <w:rPr>
          <w:rFonts w:cs="Arial"/>
          <w:szCs w:val="20"/>
        </w:rPr>
        <w:t xml:space="preserve">Malawi is considered a patriarchal society, with men holding most of the authority within the family </w:t>
      </w:r>
      <w:r w:rsidR="00A42348">
        <w:rPr>
          <w:rFonts w:cs="Arial"/>
          <w:szCs w:val="20"/>
        </w:rPr>
        <w:t>unit</w:t>
      </w:r>
      <w:r w:rsidRPr="00F66D9C">
        <w:rPr>
          <w:rFonts w:cs="Arial"/>
          <w:szCs w:val="20"/>
        </w:rPr>
        <w:t>. Women are responsible for household upkeep and child-rearing, while men are more likely to be the earners for the family.</w:t>
      </w:r>
      <w:r w:rsidR="00937C5D">
        <w:rPr>
          <w:rFonts w:cs="Arial"/>
          <w:szCs w:val="20"/>
        </w:rPr>
        <w:t xml:space="preserve"> The 2016 Global Gender Gap reports women are also active in the economic sphere, with 81% of women working (compared to 80% of men).</w:t>
      </w:r>
      <w:r w:rsidR="00937C5D">
        <w:rPr>
          <w:rStyle w:val="EndnoteReference"/>
          <w:rFonts w:cs="Arial"/>
          <w:szCs w:val="20"/>
        </w:rPr>
        <w:endnoteReference w:id="11"/>
      </w:r>
      <w:r w:rsidRPr="00F66D9C">
        <w:rPr>
          <w:rFonts w:cs="Arial"/>
          <w:szCs w:val="20"/>
        </w:rPr>
        <w:t xml:space="preserve"> Women do all the cooking, and males and females often eat separately. Family plays an important role in Malawian so</w:t>
      </w:r>
      <w:r w:rsidR="003665C0">
        <w:rPr>
          <w:rFonts w:cs="Arial"/>
          <w:szCs w:val="20"/>
        </w:rPr>
        <w:t>ciety, and relatives often live</w:t>
      </w:r>
      <w:r w:rsidRPr="00F66D9C">
        <w:rPr>
          <w:rFonts w:cs="Arial"/>
          <w:szCs w:val="20"/>
        </w:rPr>
        <w:t xml:space="preserve"> near each other or in </w:t>
      </w:r>
      <w:r w:rsidR="00735BD1" w:rsidRPr="00F66D9C">
        <w:rPr>
          <w:rFonts w:cs="Arial"/>
          <w:szCs w:val="20"/>
        </w:rPr>
        <w:t>adjoin</w:t>
      </w:r>
      <w:r w:rsidR="00735BD1">
        <w:rPr>
          <w:rFonts w:cs="Arial"/>
          <w:szCs w:val="20"/>
        </w:rPr>
        <w:t>ing</w:t>
      </w:r>
      <w:r w:rsidR="00735BD1" w:rsidRPr="00F66D9C">
        <w:rPr>
          <w:rFonts w:cs="Arial"/>
          <w:szCs w:val="20"/>
        </w:rPr>
        <w:t xml:space="preserve"> </w:t>
      </w:r>
      <w:r w:rsidRPr="00F66D9C">
        <w:rPr>
          <w:rFonts w:cs="Arial"/>
          <w:szCs w:val="20"/>
        </w:rPr>
        <w:t>houses. Elders in the family are to be respected, particularly male ones.</w:t>
      </w:r>
    </w:p>
    <w:p w:rsidR="00564B2F" w:rsidRDefault="00564B2F" w:rsidP="004C23CC">
      <w:pPr>
        <w:jc w:val="both"/>
        <w:rPr>
          <w:rFonts w:cs="Arial"/>
          <w:szCs w:val="20"/>
        </w:rPr>
      </w:pPr>
    </w:p>
    <w:p w:rsidR="00ED480C" w:rsidRPr="00F66D9C" w:rsidRDefault="008314F3" w:rsidP="008314F3">
      <w:pPr>
        <w:jc w:val="both"/>
        <w:rPr>
          <w:rFonts w:cs="Arial"/>
          <w:szCs w:val="20"/>
        </w:rPr>
      </w:pPr>
      <w:r w:rsidRPr="00F66D9C">
        <w:rPr>
          <w:rFonts w:cs="Arial"/>
          <w:szCs w:val="20"/>
        </w:rPr>
        <w:t xml:space="preserve">Marriage in Malawi is common and expected, with arranged marriages </w:t>
      </w:r>
      <w:r w:rsidR="003665C0">
        <w:rPr>
          <w:rFonts w:cs="Arial"/>
          <w:szCs w:val="20"/>
        </w:rPr>
        <w:t xml:space="preserve">still </w:t>
      </w:r>
      <w:r w:rsidRPr="00F66D9C">
        <w:rPr>
          <w:rFonts w:cs="Arial"/>
          <w:szCs w:val="20"/>
        </w:rPr>
        <w:t>taking place in rural areas. Dowry, of</w:t>
      </w:r>
      <w:r w:rsidR="00ED480C" w:rsidRPr="00F66D9C">
        <w:rPr>
          <w:rFonts w:cs="Arial"/>
          <w:szCs w:val="20"/>
        </w:rPr>
        <w:t>ten paid in livestock</w:t>
      </w:r>
      <w:r w:rsidRPr="00F66D9C">
        <w:rPr>
          <w:rFonts w:cs="Arial"/>
          <w:szCs w:val="20"/>
        </w:rPr>
        <w:t>, is also customary.</w:t>
      </w:r>
      <w:r w:rsidR="00127583">
        <w:rPr>
          <w:rFonts w:cs="Arial"/>
          <w:szCs w:val="20"/>
        </w:rPr>
        <w:t xml:space="preserve"> </w:t>
      </w:r>
      <w:r w:rsidR="00AB6AE3">
        <w:rPr>
          <w:rFonts w:cs="Arial"/>
          <w:szCs w:val="20"/>
        </w:rPr>
        <w:t xml:space="preserve">As most people in the country are religious, it is a socially conservative place where gender norms are respected. </w:t>
      </w:r>
      <w:r w:rsidR="00127583">
        <w:rPr>
          <w:rFonts w:cs="Arial"/>
          <w:szCs w:val="20"/>
        </w:rPr>
        <w:t xml:space="preserve">Decision-making power for women is relatively limited, with 44% of women reporting </w:t>
      </w:r>
      <w:r w:rsidR="003665C0">
        <w:rPr>
          <w:rFonts w:cs="Arial"/>
          <w:szCs w:val="20"/>
        </w:rPr>
        <w:t>their husband</w:t>
      </w:r>
      <w:r w:rsidR="00127583">
        <w:rPr>
          <w:rFonts w:cs="Arial"/>
          <w:szCs w:val="20"/>
        </w:rPr>
        <w:t xml:space="preserve"> </w:t>
      </w:r>
      <w:r w:rsidR="00735BD1">
        <w:rPr>
          <w:rFonts w:cs="Arial"/>
          <w:szCs w:val="20"/>
        </w:rPr>
        <w:t xml:space="preserve">solely </w:t>
      </w:r>
      <w:r w:rsidR="00127583">
        <w:rPr>
          <w:rFonts w:cs="Arial"/>
          <w:szCs w:val="20"/>
        </w:rPr>
        <w:t>make</w:t>
      </w:r>
      <w:r w:rsidR="003665C0">
        <w:rPr>
          <w:rFonts w:cs="Arial"/>
          <w:szCs w:val="20"/>
        </w:rPr>
        <w:t>s</w:t>
      </w:r>
      <w:r w:rsidR="00127583">
        <w:rPr>
          <w:rFonts w:cs="Arial"/>
          <w:szCs w:val="20"/>
        </w:rPr>
        <w:t xml:space="preserve"> the decisions related to their own healthcare, and 69% reporting the</w:t>
      </w:r>
      <w:r w:rsidR="003665C0">
        <w:rPr>
          <w:rFonts w:cs="Arial"/>
          <w:szCs w:val="20"/>
        </w:rPr>
        <w:t>ir</w:t>
      </w:r>
      <w:r w:rsidR="00127583">
        <w:rPr>
          <w:rFonts w:cs="Arial"/>
          <w:szCs w:val="20"/>
        </w:rPr>
        <w:t xml:space="preserve"> hus</w:t>
      </w:r>
      <w:r w:rsidR="003665C0">
        <w:rPr>
          <w:rFonts w:cs="Arial"/>
          <w:szCs w:val="20"/>
        </w:rPr>
        <w:t>band</w:t>
      </w:r>
      <w:r w:rsidR="00127583">
        <w:rPr>
          <w:rFonts w:cs="Arial"/>
          <w:szCs w:val="20"/>
        </w:rPr>
        <w:t xml:space="preserve"> makes</w:t>
      </w:r>
      <w:r w:rsidR="003665C0">
        <w:rPr>
          <w:rFonts w:cs="Arial"/>
          <w:szCs w:val="20"/>
        </w:rPr>
        <w:t xml:space="preserve"> sole</w:t>
      </w:r>
      <w:r w:rsidR="00127583">
        <w:rPr>
          <w:rFonts w:cs="Arial"/>
          <w:szCs w:val="20"/>
        </w:rPr>
        <w:t xml:space="preserve"> decisions related to major household purchases.</w:t>
      </w:r>
      <w:r w:rsidR="00AA4620">
        <w:rPr>
          <w:rStyle w:val="EndnoteReference"/>
          <w:rFonts w:cs="Arial"/>
          <w:szCs w:val="20"/>
        </w:rPr>
        <w:endnoteReference w:id="12"/>
      </w:r>
      <w:r w:rsidR="00ED480C" w:rsidRPr="00F66D9C">
        <w:rPr>
          <w:rFonts w:cs="Arial"/>
          <w:szCs w:val="20"/>
        </w:rPr>
        <w:t>Children, especially girls, are raised to be obedient and to help with chores such as fetching water and collecting wood in rural areas, and helping with childcare in more urban areas.</w:t>
      </w:r>
    </w:p>
    <w:p w:rsidR="002F290E" w:rsidRPr="00F66D9C" w:rsidRDefault="002F290E" w:rsidP="00960DAC">
      <w:pPr>
        <w:pStyle w:val="ListParagraph"/>
        <w:jc w:val="both"/>
        <w:rPr>
          <w:rFonts w:cs="Arial"/>
          <w:szCs w:val="20"/>
        </w:rPr>
      </w:pPr>
    </w:p>
    <w:p w:rsidR="00815897" w:rsidRPr="00F66D9C" w:rsidRDefault="003C5C5B" w:rsidP="009535BF">
      <w:pPr>
        <w:jc w:val="both"/>
        <w:rPr>
          <w:rFonts w:cs="Arial"/>
          <w:szCs w:val="20"/>
        </w:rPr>
      </w:pPr>
      <w:r w:rsidRPr="00F66D9C">
        <w:rPr>
          <w:rFonts w:cs="Arial"/>
          <w:b/>
          <w:szCs w:val="20"/>
        </w:rPr>
        <w:t>Edu</w:t>
      </w:r>
      <w:r w:rsidR="00F525B8" w:rsidRPr="00F66D9C">
        <w:rPr>
          <w:rFonts w:cs="Arial"/>
          <w:b/>
          <w:szCs w:val="20"/>
        </w:rPr>
        <w:t>cation and Economic Empowerment:</w:t>
      </w:r>
    </w:p>
    <w:p w:rsidR="004C23CC" w:rsidRDefault="00E83FEF" w:rsidP="004C23CC">
      <w:pPr>
        <w:jc w:val="both"/>
        <w:rPr>
          <w:rFonts w:cs="Arial"/>
          <w:szCs w:val="20"/>
        </w:rPr>
      </w:pPr>
      <w:r w:rsidRPr="00F66D9C">
        <w:rPr>
          <w:rFonts w:cs="Arial"/>
          <w:szCs w:val="20"/>
        </w:rPr>
        <w:t xml:space="preserve">Primary school is from age 6-13, with an option for secondary school </w:t>
      </w:r>
      <w:r w:rsidR="003665C0">
        <w:rPr>
          <w:rFonts w:cs="Arial"/>
          <w:szCs w:val="20"/>
        </w:rPr>
        <w:t>through</w:t>
      </w:r>
      <w:r w:rsidRPr="00F66D9C">
        <w:rPr>
          <w:rFonts w:cs="Arial"/>
          <w:szCs w:val="20"/>
        </w:rPr>
        <w:t xml:space="preserve"> age 17. Most Malawian children do not complete their full schooling as they are forced to drop out to help with agriculture or with taking care of younger siblings. </w:t>
      </w:r>
      <w:r w:rsidR="00ED480C" w:rsidRPr="00F66D9C">
        <w:rPr>
          <w:rFonts w:cs="Arial"/>
          <w:szCs w:val="20"/>
        </w:rPr>
        <w:t>Within Malawi, 1</w:t>
      </w:r>
      <w:r w:rsidR="00735BD1">
        <w:rPr>
          <w:rFonts w:cs="Arial"/>
          <w:szCs w:val="20"/>
        </w:rPr>
        <w:t>9</w:t>
      </w:r>
      <w:r w:rsidR="00ED480C" w:rsidRPr="00F66D9C">
        <w:rPr>
          <w:rFonts w:cs="Arial"/>
          <w:szCs w:val="20"/>
        </w:rPr>
        <w:t>% of women overall have never attended any formal school, compared with 11% of men.</w:t>
      </w:r>
      <w:r w:rsidR="00ED480C" w:rsidRPr="00F66D9C">
        <w:rPr>
          <w:rStyle w:val="EndnoteReference"/>
          <w:rFonts w:cs="Arial"/>
          <w:szCs w:val="20"/>
        </w:rPr>
        <w:endnoteReference w:id="13"/>
      </w:r>
      <w:r w:rsidR="00ED480C" w:rsidRPr="00F66D9C">
        <w:rPr>
          <w:rFonts w:cs="Arial"/>
          <w:szCs w:val="20"/>
        </w:rPr>
        <w:t xml:space="preserve"> </w:t>
      </w:r>
      <w:r w:rsidRPr="00F66D9C">
        <w:rPr>
          <w:rFonts w:cs="Arial"/>
          <w:szCs w:val="20"/>
        </w:rPr>
        <w:t>Women are also generally less exposed to the outside world than men, with a high</w:t>
      </w:r>
      <w:r w:rsidR="003665C0">
        <w:rPr>
          <w:rFonts w:cs="Arial"/>
          <w:szCs w:val="20"/>
        </w:rPr>
        <w:t>er</w:t>
      </w:r>
      <w:r w:rsidRPr="00F66D9C">
        <w:rPr>
          <w:rFonts w:cs="Arial"/>
          <w:szCs w:val="20"/>
        </w:rPr>
        <w:t xml:space="preserve"> proportion of men listening to the radio, reading newspaper</w:t>
      </w:r>
      <w:r w:rsidR="00735BD1">
        <w:rPr>
          <w:rFonts w:cs="Arial"/>
          <w:szCs w:val="20"/>
        </w:rPr>
        <w:t>s</w:t>
      </w:r>
      <w:r w:rsidRPr="00F66D9C">
        <w:rPr>
          <w:rFonts w:cs="Arial"/>
          <w:szCs w:val="20"/>
        </w:rPr>
        <w:t>, or watching television at least once a week.</w:t>
      </w:r>
      <w:r w:rsidRPr="00F66D9C">
        <w:rPr>
          <w:rStyle w:val="EndnoteReference"/>
          <w:rFonts w:cs="Arial"/>
          <w:szCs w:val="20"/>
        </w:rPr>
        <w:endnoteReference w:id="14"/>
      </w:r>
      <w:r w:rsidRPr="00F66D9C">
        <w:rPr>
          <w:rFonts w:cs="Arial"/>
          <w:szCs w:val="20"/>
        </w:rPr>
        <w:t xml:space="preserve"> </w:t>
      </w:r>
      <w:r w:rsidR="00ED480C" w:rsidRPr="00F66D9C">
        <w:rPr>
          <w:rFonts w:cs="Arial"/>
          <w:szCs w:val="20"/>
        </w:rPr>
        <w:t xml:space="preserve">Higher education is uncommon in Malawi. </w:t>
      </w:r>
      <w:r w:rsidRPr="00F66D9C">
        <w:rPr>
          <w:rFonts w:cs="Arial"/>
          <w:szCs w:val="20"/>
        </w:rPr>
        <w:t>Though a few institutions exist</w:t>
      </w:r>
      <w:r w:rsidR="00ED480C" w:rsidRPr="00F66D9C">
        <w:rPr>
          <w:rFonts w:cs="Arial"/>
          <w:szCs w:val="20"/>
        </w:rPr>
        <w:t>, most students from wealthier families choose to go abroad for their higher studies.</w:t>
      </w:r>
    </w:p>
    <w:p w:rsidR="00F44551" w:rsidRDefault="00F44551" w:rsidP="004C23CC">
      <w:pPr>
        <w:jc w:val="both"/>
        <w:rPr>
          <w:rFonts w:cs="Arial"/>
          <w:szCs w:val="20"/>
        </w:rPr>
      </w:pPr>
    </w:p>
    <w:p w:rsidR="004E4A68" w:rsidRDefault="00691CCD" w:rsidP="00AA4620">
      <w:pPr>
        <w:jc w:val="both"/>
        <w:rPr>
          <w:rFonts w:cs="Arial"/>
          <w:szCs w:val="20"/>
        </w:rPr>
      </w:pPr>
      <w:r w:rsidRPr="00F66D9C">
        <w:rPr>
          <w:rFonts w:cs="Arial"/>
          <w:szCs w:val="20"/>
        </w:rPr>
        <w:t xml:space="preserve">True </w:t>
      </w:r>
      <w:r w:rsidR="005774D9">
        <w:rPr>
          <w:rFonts w:cs="Arial"/>
          <w:szCs w:val="20"/>
        </w:rPr>
        <w:t>figure</w:t>
      </w:r>
      <w:r w:rsidRPr="00F66D9C">
        <w:rPr>
          <w:rFonts w:cs="Arial"/>
          <w:szCs w:val="20"/>
        </w:rPr>
        <w:t>s capturing women’s lab</w:t>
      </w:r>
      <w:r w:rsidR="00F66D9C">
        <w:rPr>
          <w:rFonts w:cs="Arial"/>
          <w:szCs w:val="20"/>
        </w:rPr>
        <w:t>o</w:t>
      </w:r>
      <w:r w:rsidR="00735BD1">
        <w:rPr>
          <w:rFonts w:cs="Arial"/>
          <w:szCs w:val="20"/>
        </w:rPr>
        <w:t>u</w:t>
      </w:r>
      <w:r w:rsidRPr="00F66D9C">
        <w:rPr>
          <w:rFonts w:cs="Arial"/>
          <w:szCs w:val="20"/>
        </w:rPr>
        <w:t>r</w:t>
      </w:r>
      <w:r w:rsidR="005F4831" w:rsidRPr="00F66D9C">
        <w:rPr>
          <w:rFonts w:cs="Arial"/>
          <w:szCs w:val="20"/>
        </w:rPr>
        <w:t xml:space="preserve"> outside of housework </w:t>
      </w:r>
      <w:r w:rsidR="005774D9">
        <w:rPr>
          <w:rFonts w:cs="Arial"/>
          <w:szCs w:val="20"/>
        </w:rPr>
        <w:t>are hard to identify</w:t>
      </w:r>
      <w:r w:rsidR="005F4831" w:rsidRPr="00F66D9C">
        <w:rPr>
          <w:rFonts w:cs="Arial"/>
          <w:szCs w:val="20"/>
        </w:rPr>
        <w:t xml:space="preserve">, as many women </w:t>
      </w:r>
      <w:r w:rsidRPr="00F66D9C">
        <w:rPr>
          <w:rFonts w:cs="Arial"/>
          <w:szCs w:val="20"/>
        </w:rPr>
        <w:t>work on famil</w:t>
      </w:r>
      <w:r w:rsidR="003665C0">
        <w:rPr>
          <w:rFonts w:cs="Arial"/>
          <w:szCs w:val="20"/>
        </w:rPr>
        <w:t>y farms or in family businesses</w:t>
      </w:r>
      <w:r w:rsidRPr="00F66D9C">
        <w:rPr>
          <w:rFonts w:cs="Arial"/>
          <w:szCs w:val="20"/>
        </w:rPr>
        <w:t xml:space="preserve"> but do not consider this to be “work.”</w:t>
      </w:r>
      <w:r w:rsidR="00F66D9C">
        <w:rPr>
          <w:rFonts w:cs="Arial"/>
          <w:szCs w:val="20"/>
        </w:rPr>
        <w:t xml:space="preserve"> Sometimes this</w:t>
      </w:r>
      <w:r w:rsidR="00F66D9C" w:rsidRPr="00F66D9C">
        <w:rPr>
          <w:rFonts w:cs="Arial"/>
          <w:szCs w:val="20"/>
        </w:rPr>
        <w:t xml:space="preserve"> labo</w:t>
      </w:r>
      <w:r w:rsidR="00735BD1">
        <w:rPr>
          <w:rFonts w:cs="Arial"/>
          <w:szCs w:val="20"/>
        </w:rPr>
        <w:t>u</w:t>
      </w:r>
      <w:r w:rsidRPr="00F66D9C">
        <w:rPr>
          <w:rFonts w:cs="Arial"/>
          <w:szCs w:val="20"/>
        </w:rPr>
        <w:t xml:space="preserve">r is </w:t>
      </w:r>
      <w:r w:rsidR="00F66D9C">
        <w:rPr>
          <w:rFonts w:cs="Arial"/>
          <w:szCs w:val="20"/>
        </w:rPr>
        <w:t>compensated, sometimes not</w:t>
      </w:r>
      <w:r w:rsidR="005774D9">
        <w:rPr>
          <w:rFonts w:cs="Arial"/>
          <w:szCs w:val="20"/>
        </w:rPr>
        <w:t>, but women frequently earn less than men for the same types of labo</w:t>
      </w:r>
      <w:r w:rsidR="00735BD1">
        <w:rPr>
          <w:rFonts w:cs="Arial"/>
          <w:szCs w:val="20"/>
        </w:rPr>
        <w:t>u</w:t>
      </w:r>
      <w:r w:rsidR="005774D9">
        <w:rPr>
          <w:rFonts w:cs="Arial"/>
          <w:szCs w:val="20"/>
        </w:rPr>
        <w:t>r</w:t>
      </w:r>
      <w:r w:rsidR="00F66D9C">
        <w:rPr>
          <w:rFonts w:cs="Arial"/>
          <w:szCs w:val="20"/>
        </w:rPr>
        <w:t xml:space="preserve">. Of those women who are </w:t>
      </w:r>
      <w:r w:rsidR="00127583">
        <w:rPr>
          <w:rFonts w:cs="Arial"/>
          <w:szCs w:val="20"/>
        </w:rPr>
        <w:t xml:space="preserve">married and </w:t>
      </w:r>
      <w:r w:rsidR="00F66D9C">
        <w:rPr>
          <w:rFonts w:cs="Arial"/>
          <w:szCs w:val="20"/>
        </w:rPr>
        <w:t>earning money, 40% report that decisions about how their income is spent are made primarily by their husbands.</w:t>
      </w:r>
      <w:r w:rsidR="00F66D9C">
        <w:rPr>
          <w:rStyle w:val="EndnoteReference"/>
          <w:rFonts w:cs="Arial"/>
          <w:szCs w:val="20"/>
        </w:rPr>
        <w:endnoteReference w:id="15"/>
      </w:r>
      <w:r w:rsidR="00AA4620">
        <w:rPr>
          <w:rFonts w:cs="Arial"/>
          <w:szCs w:val="20"/>
        </w:rPr>
        <w:t xml:space="preserve"> Most women work in the agricultural sector (58%), followed by the sales and service sector (25%); most men also work in agriculture (48%), followed by skilled labo</w:t>
      </w:r>
      <w:r w:rsidR="00735BD1">
        <w:rPr>
          <w:rFonts w:cs="Arial"/>
          <w:szCs w:val="20"/>
        </w:rPr>
        <w:t>u</w:t>
      </w:r>
      <w:r w:rsidR="00AA4620">
        <w:rPr>
          <w:rFonts w:cs="Arial"/>
          <w:szCs w:val="20"/>
        </w:rPr>
        <w:t xml:space="preserve">r (18%) and </w:t>
      </w:r>
      <w:r w:rsidR="003665C0">
        <w:rPr>
          <w:rFonts w:cs="Arial"/>
          <w:szCs w:val="20"/>
        </w:rPr>
        <w:t xml:space="preserve">then </w:t>
      </w:r>
      <w:r w:rsidR="00AA4620">
        <w:rPr>
          <w:rFonts w:cs="Arial"/>
          <w:szCs w:val="20"/>
        </w:rPr>
        <w:t>sales and services (16%).</w:t>
      </w:r>
      <w:r w:rsidR="00AA4620">
        <w:rPr>
          <w:rStyle w:val="EndnoteReference"/>
          <w:rFonts w:cs="Arial"/>
          <w:szCs w:val="20"/>
        </w:rPr>
        <w:endnoteReference w:id="16"/>
      </w:r>
      <w:r w:rsidR="00AA4620">
        <w:rPr>
          <w:rFonts w:cs="Arial"/>
          <w:szCs w:val="20"/>
        </w:rPr>
        <w:t xml:space="preserve"> </w:t>
      </w:r>
      <w:r w:rsidR="004E4A68">
        <w:rPr>
          <w:rFonts w:cs="Arial"/>
          <w:szCs w:val="20"/>
        </w:rPr>
        <w:t>20% of children ages 5-14 are thought to be working, often in poor conditions, primarily in the tea and tobacco industries.</w:t>
      </w:r>
      <w:r w:rsidR="004E4A68">
        <w:rPr>
          <w:rStyle w:val="EndnoteReference"/>
          <w:rFonts w:cs="Arial"/>
          <w:szCs w:val="20"/>
        </w:rPr>
        <w:endnoteReference w:id="17"/>
      </w:r>
      <w:r w:rsidR="004E4A68">
        <w:rPr>
          <w:rFonts w:cs="Arial"/>
          <w:szCs w:val="20"/>
        </w:rPr>
        <w:t xml:space="preserve"> This labo</w:t>
      </w:r>
      <w:r w:rsidR="00735BD1">
        <w:rPr>
          <w:rFonts w:cs="Arial"/>
          <w:szCs w:val="20"/>
        </w:rPr>
        <w:t>u</w:t>
      </w:r>
      <w:r w:rsidR="004E4A68">
        <w:rPr>
          <w:rFonts w:cs="Arial"/>
          <w:szCs w:val="20"/>
        </w:rPr>
        <w:t xml:space="preserve">r interferes with their ability to gain </w:t>
      </w:r>
      <w:r w:rsidR="00735BD1">
        <w:rPr>
          <w:rFonts w:cs="Arial"/>
          <w:szCs w:val="20"/>
        </w:rPr>
        <w:t xml:space="preserve">an </w:t>
      </w:r>
      <w:r w:rsidR="004E4A68">
        <w:rPr>
          <w:rFonts w:cs="Arial"/>
          <w:szCs w:val="20"/>
        </w:rPr>
        <w:t>education and can be damaging to their health.</w:t>
      </w:r>
    </w:p>
    <w:p w:rsidR="00795FAE" w:rsidRPr="00F66D9C" w:rsidRDefault="00795FAE" w:rsidP="00DB689A">
      <w:pPr>
        <w:rPr>
          <w:rFonts w:cs="Arial"/>
          <w:b/>
          <w:color w:val="000000" w:themeColor="text1"/>
          <w:szCs w:val="20"/>
        </w:rPr>
      </w:pPr>
    </w:p>
    <w:p w:rsidR="005F4831" w:rsidRPr="00F66D9C" w:rsidRDefault="00DB689A" w:rsidP="005F4831">
      <w:pPr>
        <w:rPr>
          <w:rFonts w:cs="Arial"/>
          <w:b/>
          <w:bCs/>
          <w:szCs w:val="20"/>
        </w:rPr>
      </w:pPr>
      <w:r w:rsidRPr="00F66D9C">
        <w:rPr>
          <w:rStyle w:val="apple-converted-space"/>
          <w:rFonts w:cs="Arial"/>
          <w:b/>
          <w:szCs w:val="20"/>
          <w:shd w:val="clear" w:color="auto" w:fill="FFFFFF"/>
        </w:rPr>
        <w:t>Participation</w:t>
      </w:r>
      <w:r w:rsidR="00B747FA" w:rsidRPr="00F66D9C">
        <w:rPr>
          <w:rStyle w:val="apple-converted-space"/>
          <w:rFonts w:cs="Arial"/>
          <w:b/>
          <w:szCs w:val="20"/>
          <w:shd w:val="clear" w:color="auto" w:fill="FFFFFF"/>
        </w:rPr>
        <w:t xml:space="preserve"> and Policy</w:t>
      </w:r>
      <w:r w:rsidRPr="00F66D9C">
        <w:rPr>
          <w:rStyle w:val="apple-converted-space"/>
          <w:rFonts w:cs="Arial"/>
          <w:b/>
          <w:szCs w:val="20"/>
          <w:shd w:val="clear" w:color="auto" w:fill="FFFFFF"/>
        </w:rPr>
        <w:t>:</w:t>
      </w:r>
    </w:p>
    <w:p w:rsidR="00796142" w:rsidRPr="005774D9" w:rsidRDefault="005774D9" w:rsidP="006252A7">
      <w:pPr>
        <w:jc w:val="both"/>
        <w:rPr>
          <w:rFonts w:cs="Arial"/>
          <w:szCs w:val="20"/>
        </w:rPr>
      </w:pPr>
      <w:r>
        <w:rPr>
          <w:rFonts w:cs="Arial"/>
          <w:szCs w:val="20"/>
        </w:rPr>
        <w:t xml:space="preserve">Despite having </w:t>
      </w:r>
      <w:r w:rsidR="00241559">
        <w:rPr>
          <w:rFonts w:cs="Arial"/>
          <w:szCs w:val="20"/>
        </w:rPr>
        <w:t>had a female</w:t>
      </w:r>
      <w:r w:rsidR="003665C0">
        <w:rPr>
          <w:rFonts w:cs="Arial"/>
          <w:szCs w:val="20"/>
        </w:rPr>
        <w:t xml:space="preserve"> </w:t>
      </w:r>
      <w:r w:rsidR="00241559">
        <w:rPr>
          <w:rFonts w:cs="Arial"/>
          <w:szCs w:val="20"/>
        </w:rPr>
        <w:t>president from 2012-2014</w:t>
      </w:r>
      <w:r>
        <w:rPr>
          <w:rFonts w:cs="Arial"/>
          <w:szCs w:val="20"/>
        </w:rPr>
        <w:t xml:space="preserve">, </w:t>
      </w:r>
      <w:r w:rsidR="00796142">
        <w:rPr>
          <w:rFonts w:cs="Arial"/>
          <w:szCs w:val="20"/>
        </w:rPr>
        <w:t xml:space="preserve">overall </w:t>
      </w:r>
      <w:r>
        <w:rPr>
          <w:rFonts w:cs="Arial"/>
          <w:szCs w:val="20"/>
        </w:rPr>
        <w:t>women’s participa</w:t>
      </w:r>
      <w:r w:rsidR="00241559">
        <w:rPr>
          <w:rFonts w:cs="Arial"/>
          <w:szCs w:val="20"/>
        </w:rPr>
        <w:t>tion in Malawian politics is limited</w:t>
      </w:r>
      <w:r>
        <w:rPr>
          <w:rFonts w:cs="Arial"/>
          <w:szCs w:val="20"/>
        </w:rPr>
        <w:t>.</w:t>
      </w:r>
      <w:r w:rsidR="00241559">
        <w:rPr>
          <w:rFonts w:cs="Arial"/>
          <w:szCs w:val="20"/>
        </w:rPr>
        <w:t xml:space="preserve"> Participation peaked in 2009 with 23% </w:t>
      </w:r>
      <w:r w:rsidR="00796142">
        <w:rPr>
          <w:rFonts w:cs="Arial"/>
          <w:szCs w:val="20"/>
        </w:rPr>
        <w:t xml:space="preserve">of the total </w:t>
      </w:r>
      <w:r w:rsidR="00241559">
        <w:rPr>
          <w:rFonts w:cs="Arial"/>
          <w:szCs w:val="20"/>
        </w:rPr>
        <w:t>members of parliament</w:t>
      </w:r>
      <w:r w:rsidR="00796142">
        <w:rPr>
          <w:rFonts w:cs="Arial"/>
          <w:szCs w:val="20"/>
        </w:rPr>
        <w:t xml:space="preserve"> being female</w:t>
      </w:r>
      <w:r w:rsidR="00241559">
        <w:rPr>
          <w:rFonts w:cs="Arial"/>
          <w:szCs w:val="20"/>
        </w:rPr>
        <w:t>,</w:t>
      </w:r>
      <w:r w:rsidR="00796142">
        <w:rPr>
          <w:rFonts w:cs="Arial"/>
          <w:szCs w:val="20"/>
        </w:rPr>
        <w:t xml:space="preserve"> a figure that fell</w:t>
      </w:r>
      <w:r w:rsidR="00241559">
        <w:rPr>
          <w:rFonts w:cs="Arial"/>
          <w:szCs w:val="20"/>
        </w:rPr>
        <w:t xml:space="preserve"> back to 1</w:t>
      </w:r>
      <w:r w:rsidR="00735BD1">
        <w:rPr>
          <w:rFonts w:cs="Arial"/>
          <w:szCs w:val="20"/>
        </w:rPr>
        <w:t>7</w:t>
      </w:r>
      <w:r w:rsidR="00241559">
        <w:rPr>
          <w:rFonts w:cs="Arial"/>
          <w:szCs w:val="20"/>
        </w:rPr>
        <w:t>% in 2014.</w:t>
      </w:r>
      <w:r>
        <w:rPr>
          <w:rStyle w:val="EndnoteReference"/>
          <w:rFonts w:cs="Arial"/>
          <w:szCs w:val="20"/>
        </w:rPr>
        <w:endnoteReference w:id="18"/>
      </w:r>
      <w:r w:rsidR="00F44551">
        <w:rPr>
          <w:rFonts w:cs="Arial"/>
          <w:szCs w:val="20"/>
        </w:rPr>
        <w:t xml:space="preserve"> </w:t>
      </w:r>
      <w:r w:rsidR="00796142">
        <w:rPr>
          <w:rFonts w:cs="Arial"/>
          <w:szCs w:val="20"/>
        </w:rPr>
        <w:t xml:space="preserve">A number of laws have been passed to help protect women’s rights, to varying degrees of effectiveness. </w:t>
      </w:r>
      <w:r w:rsidR="0026044A">
        <w:rPr>
          <w:rFonts w:cs="Arial"/>
          <w:szCs w:val="20"/>
        </w:rPr>
        <w:t>The 2011 Deceased Estates Bill gives women legal right to inheritance after the death of her husband. However, this has been hard to enforce in practice, and female illiteracy has contributed to a lack of knowledge regarding basic rights.</w:t>
      </w:r>
      <w:r w:rsidR="00731326">
        <w:rPr>
          <w:rFonts w:cs="Arial"/>
          <w:szCs w:val="20"/>
        </w:rPr>
        <w:t xml:space="preserve"> The justice system is also considered inefficient and generally unhelpful towards protecting women’s right</w:t>
      </w:r>
      <w:r w:rsidR="00735BD1">
        <w:rPr>
          <w:rFonts w:cs="Arial"/>
          <w:szCs w:val="20"/>
        </w:rPr>
        <w:t>s</w:t>
      </w:r>
      <w:r w:rsidR="00731326">
        <w:rPr>
          <w:rFonts w:cs="Arial"/>
          <w:szCs w:val="20"/>
        </w:rPr>
        <w:t>.</w:t>
      </w:r>
      <w:r w:rsidR="00796142">
        <w:rPr>
          <w:rFonts w:cs="Arial"/>
          <w:szCs w:val="20"/>
        </w:rPr>
        <w:t xml:space="preserve"> </w:t>
      </w:r>
      <w:r w:rsidR="0026044A">
        <w:rPr>
          <w:rFonts w:cs="Arial"/>
          <w:szCs w:val="20"/>
        </w:rPr>
        <w:t>The 2006 Prevention of Domestic Violence Act protects women against physical, emotional, financial and sexual abuse; however it does not account for marital rape.</w:t>
      </w:r>
      <w:r w:rsidR="0026044A">
        <w:rPr>
          <w:rStyle w:val="EndnoteReference"/>
          <w:rFonts w:cs="Arial"/>
          <w:szCs w:val="20"/>
        </w:rPr>
        <w:endnoteReference w:id="19"/>
      </w:r>
      <w:r w:rsidR="003A2FEC">
        <w:rPr>
          <w:rFonts w:cs="Arial"/>
          <w:szCs w:val="20"/>
        </w:rPr>
        <w:t xml:space="preserve"> </w:t>
      </w:r>
      <w:r w:rsidR="00796142">
        <w:rPr>
          <w:rFonts w:cs="Arial"/>
          <w:szCs w:val="20"/>
        </w:rPr>
        <w:t>There are a number of women’s groups in Malawi seeking to educate women on their rights, train them in useful skills, and/or offer small microfinance loans to increase their productivity.</w:t>
      </w:r>
    </w:p>
    <w:p w:rsidR="00DB689A" w:rsidRPr="00F66D9C" w:rsidRDefault="00DB689A" w:rsidP="00DB689A">
      <w:pPr>
        <w:jc w:val="both"/>
        <w:rPr>
          <w:rFonts w:cs="Arial"/>
          <w:b/>
          <w:szCs w:val="20"/>
        </w:rPr>
      </w:pPr>
    </w:p>
    <w:p w:rsidR="00A259C2" w:rsidRPr="00F66D9C" w:rsidRDefault="00735BD1" w:rsidP="009535BF">
      <w:pPr>
        <w:jc w:val="both"/>
        <w:rPr>
          <w:rFonts w:cs="Arial"/>
          <w:szCs w:val="20"/>
        </w:rPr>
      </w:pPr>
      <w:r w:rsidRPr="00F66D9C">
        <w:rPr>
          <w:rFonts w:cs="Arial"/>
          <w:b/>
          <w:szCs w:val="20"/>
        </w:rPr>
        <w:t>Gender</w:t>
      </w:r>
      <w:r>
        <w:rPr>
          <w:rFonts w:cs="Arial"/>
          <w:b/>
          <w:szCs w:val="20"/>
        </w:rPr>
        <w:t>-</w:t>
      </w:r>
      <w:r w:rsidR="00750729" w:rsidRPr="00F66D9C">
        <w:rPr>
          <w:rFonts w:cs="Arial"/>
          <w:b/>
          <w:szCs w:val="20"/>
        </w:rPr>
        <w:t>Based Violence</w:t>
      </w:r>
      <w:r w:rsidR="009535BF" w:rsidRPr="00F66D9C">
        <w:rPr>
          <w:rFonts w:cs="Arial"/>
          <w:b/>
          <w:szCs w:val="20"/>
        </w:rPr>
        <w:t xml:space="preserve"> and Protection</w:t>
      </w:r>
      <w:r w:rsidR="00F525B8" w:rsidRPr="00F66D9C">
        <w:rPr>
          <w:rFonts w:cs="Arial"/>
          <w:b/>
          <w:szCs w:val="20"/>
        </w:rPr>
        <w:t>:</w:t>
      </w:r>
    </w:p>
    <w:p w:rsidR="007E2379" w:rsidRPr="00564B2F" w:rsidRDefault="00731326" w:rsidP="00564B2F">
      <w:pPr>
        <w:spacing w:after="200" w:line="276" w:lineRule="auto"/>
        <w:rPr>
          <w:rFonts w:ascii="Times" w:eastAsiaTheme="minorHAnsi" w:hAnsi="Times" w:cstheme="minorBidi"/>
          <w:szCs w:val="20"/>
        </w:rPr>
      </w:pPr>
      <w:r>
        <w:rPr>
          <w:rFonts w:cs="Arial"/>
        </w:rPr>
        <w:t xml:space="preserve">Malawi is party to </w:t>
      </w:r>
      <w:r w:rsidR="00564B2F" w:rsidRPr="00564B2F">
        <w:rPr>
          <w:rFonts w:cs="Arial"/>
        </w:rPr>
        <w:t>Convention on the Elimination of all Forms of Discrimination Against Women</w:t>
      </w:r>
      <w:r w:rsidR="00564B2F">
        <w:rPr>
          <w:rFonts w:ascii="Times" w:eastAsiaTheme="minorHAnsi" w:hAnsi="Times" w:cstheme="minorBidi"/>
          <w:szCs w:val="20"/>
        </w:rPr>
        <w:t xml:space="preserve"> </w:t>
      </w:r>
      <w:r w:rsidR="00564B2F">
        <w:rPr>
          <w:rFonts w:cs="Arial"/>
        </w:rPr>
        <w:t>(</w:t>
      </w:r>
      <w:r>
        <w:rPr>
          <w:rFonts w:cs="Arial"/>
        </w:rPr>
        <w:t>CEDAW</w:t>
      </w:r>
      <w:r w:rsidR="00564B2F">
        <w:rPr>
          <w:rFonts w:cs="Arial"/>
        </w:rPr>
        <w:t>)</w:t>
      </w:r>
      <w:r>
        <w:rPr>
          <w:rFonts w:cs="Arial"/>
        </w:rPr>
        <w:t xml:space="preserve"> and i</w:t>
      </w:r>
      <w:r>
        <w:t xml:space="preserve">s a signatory to the Protocol to the African Charter on Human and People’s Rights on the Rights of Women in Africa, signaling its commitment towards reducing incidences of </w:t>
      </w:r>
      <w:r w:rsidR="00424068">
        <w:t>gender-based violence</w:t>
      </w:r>
      <w:r w:rsidR="00735BD1">
        <w:t xml:space="preserve"> (GBV)</w:t>
      </w:r>
      <w:r w:rsidR="00424068">
        <w:t>. However, women</w:t>
      </w:r>
      <w:r w:rsidR="00424068">
        <w:rPr>
          <w:rFonts w:cs="Arial"/>
        </w:rPr>
        <w:t xml:space="preserve"> are still at risk for GBV</w:t>
      </w:r>
      <w:r w:rsidR="006252A7">
        <w:rPr>
          <w:rFonts w:cs="Arial"/>
        </w:rPr>
        <w:t xml:space="preserve">. </w:t>
      </w:r>
      <w:r w:rsidR="00796142">
        <w:rPr>
          <w:rFonts w:cs="Arial"/>
          <w:szCs w:val="20"/>
        </w:rPr>
        <w:t>Almost</w:t>
      </w:r>
      <w:r w:rsidR="006252A7">
        <w:rPr>
          <w:rFonts w:cs="Arial"/>
          <w:szCs w:val="20"/>
        </w:rPr>
        <w:t xml:space="preserve"> 15% of women</w:t>
      </w:r>
      <w:r w:rsidR="00796142">
        <w:rPr>
          <w:rFonts w:cs="Arial"/>
          <w:szCs w:val="20"/>
        </w:rPr>
        <w:t xml:space="preserve"> in Malawi</w:t>
      </w:r>
      <w:r w:rsidR="006252A7">
        <w:rPr>
          <w:rFonts w:cs="Arial"/>
          <w:szCs w:val="20"/>
        </w:rPr>
        <w:t xml:space="preserve"> report</w:t>
      </w:r>
      <w:r w:rsidR="00796142">
        <w:rPr>
          <w:rFonts w:cs="Arial"/>
          <w:szCs w:val="20"/>
        </w:rPr>
        <w:t>ed</w:t>
      </w:r>
      <w:r w:rsidR="006252A7">
        <w:rPr>
          <w:rFonts w:cs="Arial"/>
          <w:szCs w:val="20"/>
        </w:rPr>
        <w:t xml:space="preserve"> their first sexual experience happened against their will.</w:t>
      </w:r>
      <w:r w:rsidR="006252A7">
        <w:rPr>
          <w:rStyle w:val="EndnoteReference"/>
          <w:rFonts w:cs="Arial"/>
          <w:szCs w:val="20"/>
        </w:rPr>
        <w:endnoteReference w:id="20"/>
      </w:r>
      <w:r w:rsidR="006252A7">
        <w:rPr>
          <w:rFonts w:cs="Arial"/>
          <w:szCs w:val="20"/>
        </w:rPr>
        <w:t xml:space="preserve"> Two out of five women reported they had experienced sexual or physical violence</w:t>
      </w:r>
      <w:r w:rsidR="00796142">
        <w:rPr>
          <w:rFonts w:cs="Arial"/>
          <w:szCs w:val="20"/>
        </w:rPr>
        <w:t xml:space="preserve"> at some point</w:t>
      </w:r>
      <w:r w:rsidR="006252A7">
        <w:rPr>
          <w:rFonts w:cs="Arial"/>
          <w:szCs w:val="20"/>
        </w:rPr>
        <w:t>.</w:t>
      </w:r>
      <w:r w:rsidR="006252A7">
        <w:rPr>
          <w:rStyle w:val="EndnoteReference"/>
          <w:rFonts w:cs="Arial"/>
          <w:szCs w:val="20"/>
        </w:rPr>
        <w:endnoteReference w:id="21"/>
      </w:r>
      <w:r w:rsidR="006252A7">
        <w:rPr>
          <w:rFonts w:cs="Arial"/>
          <w:szCs w:val="20"/>
        </w:rPr>
        <w:t xml:space="preserve"> This violence is usually perpetrated by a current</w:t>
      </w:r>
      <w:r w:rsidR="00735BD1">
        <w:rPr>
          <w:rFonts w:cs="Arial"/>
          <w:szCs w:val="20"/>
        </w:rPr>
        <w:t xml:space="preserve"> or </w:t>
      </w:r>
      <w:r w:rsidR="006252A7">
        <w:rPr>
          <w:rFonts w:cs="Arial"/>
          <w:szCs w:val="20"/>
        </w:rPr>
        <w:t>former partner. Among women experiencing violence, less than 4% went to the local police</w:t>
      </w:r>
      <w:r w:rsidR="004C23CC">
        <w:rPr>
          <w:rFonts w:cs="Arial"/>
          <w:szCs w:val="20"/>
        </w:rPr>
        <w:t xml:space="preserve"> to seek help</w:t>
      </w:r>
      <w:r w:rsidR="006252A7">
        <w:rPr>
          <w:rFonts w:cs="Arial"/>
          <w:szCs w:val="20"/>
        </w:rPr>
        <w:t xml:space="preserve">, a testament to cultural stigmas, lack of awareness, and police ineffectiveness. </w:t>
      </w:r>
      <w:r w:rsidR="005774D9" w:rsidRPr="00AB6AE3">
        <w:rPr>
          <w:rFonts w:cs="Arial"/>
        </w:rPr>
        <w:t>Child mar</w:t>
      </w:r>
      <w:r w:rsidR="00AB6AE3">
        <w:rPr>
          <w:rFonts w:cs="Arial"/>
        </w:rPr>
        <w:t xml:space="preserve">riage </w:t>
      </w:r>
      <w:r w:rsidR="00424068">
        <w:rPr>
          <w:rFonts w:cs="Arial"/>
        </w:rPr>
        <w:t xml:space="preserve">is </w:t>
      </w:r>
      <w:r w:rsidR="00796142">
        <w:rPr>
          <w:rFonts w:cs="Arial"/>
        </w:rPr>
        <w:t xml:space="preserve">an issue </w:t>
      </w:r>
      <w:r w:rsidR="00424068">
        <w:rPr>
          <w:rFonts w:cs="Arial"/>
        </w:rPr>
        <w:t>of particular concern in</w:t>
      </w:r>
      <w:r w:rsidR="00AB6AE3">
        <w:rPr>
          <w:rFonts w:cs="Arial"/>
        </w:rPr>
        <w:t xml:space="preserve"> Malawi. Different laws state the legal age for marriage to be either 18 or 21, </w:t>
      </w:r>
      <w:r w:rsidR="00796142">
        <w:rPr>
          <w:rFonts w:cs="Arial"/>
        </w:rPr>
        <w:t xml:space="preserve">granting the </w:t>
      </w:r>
      <w:r w:rsidR="00AB6AE3">
        <w:rPr>
          <w:rFonts w:cs="Arial"/>
        </w:rPr>
        <w:t>possibility to marry younger with parental consent.</w:t>
      </w:r>
      <w:r w:rsidR="00424068">
        <w:rPr>
          <w:rFonts w:cs="Arial"/>
        </w:rPr>
        <w:t xml:space="preserve"> More than half of </w:t>
      </w:r>
      <w:r w:rsidR="00C36C57">
        <w:rPr>
          <w:rFonts w:cs="Arial"/>
        </w:rPr>
        <w:t>all women age</w:t>
      </w:r>
      <w:r w:rsidR="00735BD1">
        <w:rPr>
          <w:rFonts w:cs="Arial"/>
        </w:rPr>
        <w:t>d</w:t>
      </w:r>
      <w:r w:rsidR="00C36C57">
        <w:rPr>
          <w:rFonts w:cs="Arial"/>
        </w:rPr>
        <w:t xml:space="preserve"> 25-49 </w:t>
      </w:r>
      <w:r w:rsidR="00796142">
        <w:rPr>
          <w:rFonts w:cs="Arial"/>
        </w:rPr>
        <w:t>we</w:t>
      </w:r>
      <w:r w:rsidR="00C36C57">
        <w:rPr>
          <w:rFonts w:cs="Arial"/>
        </w:rPr>
        <w:t>re married by 18</w:t>
      </w:r>
      <w:r w:rsidR="00424068">
        <w:rPr>
          <w:rFonts w:cs="Arial"/>
        </w:rPr>
        <w:t>.</w:t>
      </w:r>
      <w:r w:rsidR="00C36C57">
        <w:rPr>
          <w:rStyle w:val="EndnoteReference"/>
          <w:rFonts w:cs="Arial"/>
        </w:rPr>
        <w:endnoteReference w:id="22"/>
      </w:r>
      <w:r w:rsidR="00424068">
        <w:rPr>
          <w:rFonts w:cs="Arial"/>
        </w:rPr>
        <w:t xml:space="preserve"> </w:t>
      </w:r>
      <w:r w:rsidR="00C36C57">
        <w:rPr>
          <w:rFonts w:cs="Arial"/>
        </w:rPr>
        <w:t>Marriage at a young age can contribute to poorer education and health outcomes, as well as increase the likelihood for abuse. Further, n</w:t>
      </w:r>
      <w:r w:rsidR="00424068">
        <w:rPr>
          <w:rFonts w:cs="Arial"/>
        </w:rPr>
        <w:t>early half of all 19 year-</w:t>
      </w:r>
      <w:r w:rsidR="00223C58">
        <w:rPr>
          <w:rFonts w:cs="Arial"/>
        </w:rPr>
        <w:t>old</w:t>
      </w:r>
      <w:r w:rsidR="00735BD1">
        <w:rPr>
          <w:rFonts w:cs="Arial"/>
        </w:rPr>
        <w:t xml:space="preserve"> women</w:t>
      </w:r>
      <w:r w:rsidR="00223C58">
        <w:rPr>
          <w:rFonts w:cs="Arial"/>
        </w:rPr>
        <w:t xml:space="preserve"> have had a live birth</w:t>
      </w:r>
      <w:r w:rsidR="00C36C57">
        <w:rPr>
          <w:rFonts w:cs="Arial"/>
        </w:rPr>
        <w:t>, a phenomenon that can be dangerous for both young mother and child</w:t>
      </w:r>
      <w:r w:rsidR="00AB6AE3" w:rsidRPr="00AB6AE3">
        <w:rPr>
          <w:rFonts w:cs="Arial"/>
        </w:rPr>
        <w:t>.</w:t>
      </w:r>
      <w:r w:rsidR="007E2379" w:rsidRPr="00AB6AE3">
        <w:rPr>
          <w:rStyle w:val="EndnoteReference"/>
          <w:rFonts w:cs="Arial"/>
        </w:rPr>
        <w:endnoteReference w:id="23"/>
      </w:r>
      <w:r w:rsidR="00C36C57">
        <w:rPr>
          <w:rFonts w:cs="Arial"/>
        </w:rPr>
        <w:t xml:space="preserve"> Poverty contributes to the likelihood of child marriage, as families might see daughters as an economic burden or perceive marriage </w:t>
      </w:r>
      <w:r w:rsidR="00B235B8">
        <w:rPr>
          <w:rFonts w:cs="Arial"/>
        </w:rPr>
        <w:t>as a chance at a better life.</w:t>
      </w:r>
      <w:r w:rsidR="00C36C57">
        <w:rPr>
          <w:rFonts w:cs="Arial"/>
        </w:rPr>
        <w:t xml:space="preserve"> </w:t>
      </w:r>
      <w:r w:rsidR="00B235B8">
        <w:rPr>
          <w:rFonts w:cs="Arial"/>
        </w:rPr>
        <w:t xml:space="preserve">HIV/AIDS is another issue of concern in Malawi, with less than </w:t>
      </w:r>
      <w:r w:rsidR="00564B2F">
        <w:rPr>
          <w:rFonts w:cs="Arial"/>
        </w:rPr>
        <w:t xml:space="preserve">half </w:t>
      </w:r>
      <w:r w:rsidR="00B235B8">
        <w:rPr>
          <w:rFonts w:cs="Arial"/>
        </w:rPr>
        <w:t>of those between ages 15-24 having knowledge of HIV prevention methods.</w:t>
      </w:r>
      <w:r w:rsidR="00B235B8">
        <w:rPr>
          <w:rStyle w:val="EndnoteReference"/>
          <w:rFonts w:cs="Arial"/>
        </w:rPr>
        <w:endnoteReference w:id="24"/>
      </w:r>
      <w:r w:rsidR="00F44551">
        <w:rPr>
          <w:rFonts w:cs="Arial"/>
        </w:rPr>
        <w:t xml:space="preserve"> </w:t>
      </w:r>
      <w:r w:rsidR="00796142">
        <w:rPr>
          <w:rFonts w:cs="Arial"/>
        </w:rPr>
        <w:t>Finally, d</w:t>
      </w:r>
      <w:r w:rsidR="00A17538">
        <w:rPr>
          <w:rFonts w:cs="Arial"/>
        </w:rPr>
        <w:t>espite facing</w:t>
      </w:r>
      <w:r>
        <w:rPr>
          <w:rFonts w:cs="Arial"/>
        </w:rPr>
        <w:t xml:space="preserve"> pressure from international donors</w:t>
      </w:r>
      <w:r w:rsidR="00A17538">
        <w:rPr>
          <w:rFonts w:cs="Arial"/>
        </w:rPr>
        <w:t xml:space="preserve"> for its poor treatment of LGBT people,</w:t>
      </w:r>
      <w:r w:rsidR="00794842">
        <w:rPr>
          <w:rFonts w:cs="Arial"/>
        </w:rPr>
        <w:t xml:space="preserve"> and remarks from the president expressing in</w:t>
      </w:r>
      <w:r w:rsidR="00796142">
        <w:rPr>
          <w:rFonts w:cs="Arial"/>
        </w:rPr>
        <w:t>terest in</w:t>
      </w:r>
      <w:r w:rsidR="00794842">
        <w:rPr>
          <w:rFonts w:cs="Arial"/>
        </w:rPr>
        <w:t xml:space="preserve"> relaxing its</w:t>
      </w:r>
      <w:r w:rsidR="00796142">
        <w:rPr>
          <w:rFonts w:cs="Arial"/>
        </w:rPr>
        <w:t xml:space="preserve"> related policies</w:t>
      </w:r>
      <w:r w:rsidR="00794842">
        <w:rPr>
          <w:rFonts w:cs="Arial"/>
        </w:rPr>
        <w:t>,</w:t>
      </w:r>
      <w:r w:rsidR="00A17538">
        <w:rPr>
          <w:rFonts w:cs="Arial"/>
        </w:rPr>
        <w:t xml:space="preserve"> the country has not made any significant strides towards decriminali</w:t>
      </w:r>
      <w:r w:rsidR="00735BD1">
        <w:rPr>
          <w:rFonts w:cs="Arial"/>
        </w:rPr>
        <w:t>s</w:t>
      </w:r>
      <w:r w:rsidR="00A17538">
        <w:rPr>
          <w:rFonts w:cs="Arial"/>
        </w:rPr>
        <w:t>ing any of its anti-gay laws.</w:t>
      </w:r>
    </w:p>
    <w:p w:rsidR="00DB689A" w:rsidRPr="00F66D9C" w:rsidRDefault="00DB689A" w:rsidP="009535BF">
      <w:pPr>
        <w:jc w:val="both"/>
        <w:rPr>
          <w:rFonts w:cs="Arial"/>
          <w:szCs w:val="20"/>
        </w:rPr>
      </w:pPr>
    </w:p>
    <w:p w:rsidR="00D124C7" w:rsidRPr="00F66D9C" w:rsidRDefault="00984C96" w:rsidP="00532BCD">
      <w:pPr>
        <w:rPr>
          <w:rFonts w:cs="Arial"/>
          <w:szCs w:val="20"/>
        </w:rPr>
      </w:pPr>
      <w:r w:rsidRPr="00F66D9C">
        <w:rPr>
          <w:rFonts w:cs="Arial"/>
          <w:b/>
          <w:szCs w:val="20"/>
        </w:rPr>
        <w:t>Gender in Emergencies</w:t>
      </w:r>
      <w:r w:rsidRPr="00F66D9C">
        <w:rPr>
          <w:rFonts w:cs="Arial"/>
          <w:szCs w:val="20"/>
        </w:rPr>
        <w:t>:</w:t>
      </w:r>
    </w:p>
    <w:p w:rsidR="00F44551" w:rsidRDefault="004C23CC" w:rsidP="0032556F">
      <w:r>
        <w:t>As women are the primary caretakers of the household, disasters affecting access to resources will disproportionately affect women and girls. For example, as the primary collectors of water, women will face extra burden in times of drought or flood, similar to food insecurity.</w:t>
      </w:r>
      <w:r w:rsidR="004A1220">
        <w:t xml:space="preserve"> Women and girls </w:t>
      </w:r>
      <w:r w:rsidR="00796142">
        <w:t xml:space="preserve">will </w:t>
      </w:r>
      <w:r w:rsidR="004A1220">
        <w:t>also have increased stress related to sanitation and hygiene.</w:t>
      </w:r>
      <w:r w:rsidR="00564B2F">
        <w:t xml:space="preserve"> </w:t>
      </w:r>
      <w:r w:rsidR="004A1220">
        <w:t xml:space="preserve">Women staying in relief camps are at increased risk </w:t>
      </w:r>
      <w:r w:rsidR="00735BD1">
        <w:t xml:space="preserve">of </w:t>
      </w:r>
      <w:r w:rsidR="004A1220">
        <w:t>sexual violence</w:t>
      </w:r>
      <w:r w:rsidR="00796142">
        <w:t xml:space="preserve"> and/or coercion</w:t>
      </w:r>
      <w:r w:rsidR="004A1220">
        <w:t xml:space="preserve"> in return for aid.Finally, increased economic strains on family could lead to a rise in child marriage as families may encourage their daughters to wed in an effort to decrease household costs. </w:t>
      </w:r>
      <w:bookmarkStart w:id="7" w:name="_GoBack"/>
      <w:bookmarkEnd w:id="7"/>
    </w:p>
    <w:p w:rsidR="00F44551" w:rsidRPr="00F66D9C" w:rsidRDefault="00F44551" w:rsidP="0032556F">
      <w:pPr>
        <w:rPr>
          <w:rFonts w:cs="Arial"/>
        </w:rPr>
      </w:pPr>
    </w:p>
    <w:sectPr w:rsidR="00F44551" w:rsidRPr="00F66D9C" w:rsidSect="00FC7931">
      <w:headerReference w:type="default" r:id="rId7"/>
      <w:footerReference w:type="default" r:id="rId8"/>
      <w:headerReference w:type="first" r:id="rId9"/>
      <w:footerReference w:type="first" r:id="rId10"/>
      <w:endnotePr>
        <w:numFmt w:val="decimal"/>
      </w:endnotePr>
      <w:type w:val="continuous"/>
      <w:pgSz w:w="11906" w:h="16838"/>
      <w:pgMar w:top="851" w:right="964" w:bottom="794" w:left="964" w:header="0" w:footer="5"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873AA" w:rsidRDefault="005873AA" w:rsidP="008C2949">
      <w:r>
        <w:separator/>
      </w:r>
    </w:p>
  </w:endnote>
  <w:endnote w:type="continuationSeparator" w:id="1">
    <w:p w:rsidR="005873AA" w:rsidRDefault="005873AA" w:rsidP="008C2949">
      <w:r>
        <w:continuationSeparator/>
      </w:r>
    </w:p>
  </w:endnote>
  <w:endnote w:id="2">
    <w:p w:rsidR="003605B9" w:rsidRPr="00E73664" w:rsidRDefault="003605B9">
      <w:pPr>
        <w:pStyle w:val="EndnoteText"/>
        <w:rPr>
          <w:sz w:val="13"/>
          <w:szCs w:val="13"/>
        </w:rPr>
      </w:pPr>
      <w:r w:rsidRPr="00E73664">
        <w:rPr>
          <w:rStyle w:val="EndnoteReference"/>
          <w:sz w:val="13"/>
          <w:szCs w:val="13"/>
        </w:rPr>
        <w:endnoteRef/>
      </w:r>
      <w:r w:rsidRPr="00E73664">
        <w:rPr>
          <w:sz w:val="13"/>
          <w:szCs w:val="13"/>
        </w:rPr>
        <w:t xml:space="preserve"> </w:t>
      </w:r>
      <w:r w:rsidR="00E73664" w:rsidRPr="00E73664">
        <w:rPr>
          <w:sz w:val="13"/>
          <w:szCs w:val="13"/>
        </w:rPr>
        <w:t>Malawi in Figures. 2015. Government of Malawi. ttp://www.nsomalawi.mw/images/stories/data_on_line/general/malawi_in_figures/Malawi%20in%20Figures%202015.pdf.</w:t>
      </w:r>
    </w:p>
  </w:endnote>
  <w:endnote w:id="3">
    <w:p w:rsidR="008D1B5E" w:rsidRDefault="008D1B5E">
      <w:pPr>
        <w:pStyle w:val="EndnoteText"/>
      </w:pPr>
      <w:r>
        <w:rPr>
          <w:rStyle w:val="EndnoteReference"/>
        </w:rPr>
        <w:endnoteRef/>
      </w:r>
      <w:r>
        <w:t xml:space="preserve"> </w:t>
      </w:r>
      <w:r w:rsidRPr="00E73664">
        <w:rPr>
          <w:sz w:val="13"/>
          <w:szCs w:val="13"/>
        </w:rPr>
        <w:t>Malawi Demographic and Health Survey. 2010</w:t>
      </w:r>
      <w:r>
        <w:rPr>
          <w:sz w:val="13"/>
          <w:szCs w:val="13"/>
        </w:rPr>
        <w:t xml:space="preserve">. </w:t>
      </w:r>
      <w:hyperlink r:id="rId1" w:history="1">
        <w:r w:rsidRPr="00CB5608">
          <w:rPr>
            <w:rStyle w:val="Hyperlink"/>
            <w:sz w:val="13"/>
            <w:szCs w:val="13"/>
          </w:rPr>
          <w:t>https://dhsprogram.com/pubs/pdf/FR247/FR247.pdf</w:t>
        </w:r>
      </w:hyperlink>
      <w:r>
        <w:rPr>
          <w:sz w:val="13"/>
          <w:szCs w:val="13"/>
        </w:rPr>
        <w:t>. 9.</w:t>
      </w:r>
    </w:p>
  </w:endnote>
  <w:endnote w:id="4">
    <w:p w:rsidR="00A079AC" w:rsidRPr="00E73664" w:rsidRDefault="003605B9">
      <w:pPr>
        <w:pStyle w:val="EndnoteText"/>
        <w:rPr>
          <w:sz w:val="13"/>
          <w:szCs w:val="13"/>
        </w:rPr>
      </w:pPr>
      <w:r w:rsidRPr="00E73664">
        <w:rPr>
          <w:rStyle w:val="EndnoteReference"/>
          <w:sz w:val="13"/>
          <w:szCs w:val="13"/>
        </w:rPr>
        <w:endnoteRef/>
      </w:r>
      <w:r w:rsidRPr="00E73664">
        <w:rPr>
          <w:sz w:val="13"/>
          <w:szCs w:val="13"/>
        </w:rPr>
        <w:t xml:space="preserve"> </w:t>
      </w:r>
      <w:r w:rsidR="00A079AC" w:rsidRPr="00E73664">
        <w:rPr>
          <w:sz w:val="13"/>
          <w:szCs w:val="13"/>
        </w:rPr>
        <w:t>Integrated Household Survey. 2</w:t>
      </w:r>
      <w:r w:rsidR="008D1B5E">
        <w:rPr>
          <w:sz w:val="13"/>
          <w:szCs w:val="13"/>
        </w:rPr>
        <w:t xml:space="preserve">010-2011. Republic of Malawi. </w:t>
      </w:r>
      <w:hyperlink r:id="rId2" w:history="1">
        <w:r w:rsidR="008D1B5E" w:rsidRPr="00CB5608">
          <w:rPr>
            <w:rStyle w:val="Hyperlink"/>
            <w:sz w:val="13"/>
            <w:szCs w:val="13"/>
          </w:rPr>
          <w:t>http://siteresources.worldbank.org/INTLSMS/Resources/3358986-1233781970982/5800988-1271185595871/IHS3_Report.pdf</w:t>
        </w:r>
      </w:hyperlink>
      <w:r w:rsidR="008D1B5E">
        <w:rPr>
          <w:sz w:val="13"/>
          <w:szCs w:val="13"/>
        </w:rPr>
        <w:t>. 8</w:t>
      </w:r>
    </w:p>
  </w:endnote>
  <w:endnote w:id="5">
    <w:p w:rsidR="00A079AC" w:rsidRPr="00E73664" w:rsidRDefault="00A079AC">
      <w:pPr>
        <w:pStyle w:val="EndnoteText"/>
        <w:rPr>
          <w:sz w:val="13"/>
          <w:szCs w:val="13"/>
        </w:rPr>
      </w:pPr>
      <w:r w:rsidRPr="00E73664">
        <w:rPr>
          <w:rStyle w:val="EndnoteReference"/>
          <w:sz w:val="13"/>
          <w:szCs w:val="13"/>
        </w:rPr>
        <w:endnoteRef/>
      </w:r>
      <w:r w:rsidRPr="00E73664">
        <w:rPr>
          <w:sz w:val="13"/>
          <w:szCs w:val="13"/>
        </w:rPr>
        <w:t xml:space="preserve"> Ibid. </w:t>
      </w:r>
    </w:p>
  </w:endnote>
  <w:endnote w:id="6">
    <w:p w:rsidR="00A079AC" w:rsidRPr="00E73664" w:rsidRDefault="00A079AC">
      <w:pPr>
        <w:pStyle w:val="EndnoteText"/>
        <w:rPr>
          <w:sz w:val="13"/>
          <w:szCs w:val="13"/>
        </w:rPr>
      </w:pPr>
      <w:r w:rsidRPr="00E73664">
        <w:rPr>
          <w:rStyle w:val="EndnoteReference"/>
          <w:sz w:val="13"/>
          <w:szCs w:val="13"/>
        </w:rPr>
        <w:endnoteRef/>
      </w:r>
      <w:r w:rsidRPr="00E73664">
        <w:rPr>
          <w:sz w:val="13"/>
          <w:szCs w:val="13"/>
        </w:rPr>
        <w:t xml:space="preserve"> Ibid.</w:t>
      </w:r>
    </w:p>
  </w:endnote>
  <w:endnote w:id="7">
    <w:p w:rsidR="00A079AC" w:rsidRPr="00E73664" w:rsidRDefault="00A079AC">
      <w:pPr>
        <w:pStyle w:val="EndnoteText"/>
        <w:rPr>
          <w:sz w:val="13"/>
          <w:szCs w:val="13"/>
        </w:rPr>
      </w:pPr>
      <w:r w:rsidRPr="00E73664">
        <w:rPr>
          <w:rStyle w:val="EndnoteReference"/>
          <w:sz w:val="13"/>
          <w:szCs w:val="13"/>
        </w:rPr>
        <w:endnoteRef/>
      </w:r>
      <w:r w:rsidRPr="00E73664">
        <w:rPr>
          <w:sz w:val="13"/>
          <w:szCs w:val="13"/>
        </w:rPr>
        <w:t xml:space="preserve"> Malawi Demographic and Health Survey</w:t>
      </w:r>
      <w:r w:rsidR="008314F3" w:rsidRPr="00E73664">
        <w:rPr>
          <w:sz w:val="13"/>
          <w:szCs w:val="13"/>
        </w:rPr>
        <w:t>: Key Indicators</w:t>
      </w:r>
      <w:r w:rsidRPr="00E73664">
        <w:rPr>
          <w:sz w:val="13"/>
          <w:szCs w:val="13"/>
        </w:rPr>
        <w:t xml:space="preserve">. 2015-16. </w:t>
      </w:r>
      <w:hyperlink r:id="rId3" w:history="1">
        <w:r w:rsidRPr="00E73664">
          <w:rPr>
            <w:rStyle w:val="Hyperlink"/>
            <w:sz w:val="13"/>
            <w:szCs w:val="13"/>
          </w:rPr>
          <w:t>https://dhsprogram.com/pubs/pdf/PR73/PR73.pdf</w:t>
        </w:r>
      </w:hyperlink>
      <w:r w:rsidRPr="00E73664">
        <w:rPr>
          <w:sz w:val="13"/>
          <w:szCs w:val="13"/>
        </w:rPr>
        <w:t>. 20.</w:t>
      </w:r>
    </w:p>
  </w:endnote>
  <w:endnote w:id="8">
    <w:p w:rsidR="003712B3" w:rsidRPr="00E73664" w:rsidRDefault="003712B3">
      <w:pPr>
        <w:pStyle w:val="EndnoteText"/>
        <w:rPr>
          <w:sz w:val="13"/>
          <w:szCs w:val="13"/>
        </w:rPr>
      </w:pPr>
      <w:r w:rsidRPr="00E73664">
        <w:rPr>
          <w:rStyle w:val="EndnoteReference"/>
          <w:sz w:val="13"/>
          <w:szCs w:val="13"/>
        </w:rPr>
        <w:endnoteRef/>
      </w:r>
      <w:r w:rsidRPr="00E73664">
        <w:rPr>
          <w:sz w:val="13"/>
          <w:szCs w:val="13"/>
        </w:rPr>
        <w:t xml:space="preserve"> </w:t>
      </w:r>
      <w:r w:rsidR="00E73664" w:rsidRPr="00E73664">
        <w:rPr>
          <w:sz w:val="13"/>
          <w:szCs w:val="13"/>
        </w:rPr>
        <w:t>Malawi in Figures. 2015. Government of Malawi. ttp://www.nsomalawi.mw/images/stories/data_on_line/general/malawi_in_figures/Malawi%20in%20Figures%202015.pdf.</w:t>
      </w:r>
    </w:p>
  </w:endnote>
  <w:endnote w:id="9">
    <w:p w:rsidR="00A42348" w:rsidRPr="00E73664" w:rsidRDefault="00A42348" w:rsidP="00A42348">
      <w:pPr>
        <w:rPr>
          <w:rFonts w:cs="Arial"/>
          <w:sz w:val="13"/>
          <w:szCs w:val="13"/>
        </w:rPr>
      </w:pPr>
      <w:r w:rsidRPr="00E73664">
        <w:rPr>
          <w:rStyle w:val="EndnoteReference"/>
          <w:sz w:val="13"/>
          <w:szCs w:val="13"/>
        </w:rPr>
        <w:endnoteRef/>
      </w:r>
      <w:r w:rsidRPr="00E73664">
        <w:rPr>
          <w:sz w:val="13"/>
          <w:szCs w:val="13"/>
        </w:rPr>
        <w:t xml:space="preserve"> </w:t>
      </w:r>
      <w:r w:rsidRPr="00E73664">
        <w:rPr>
          <w:rFonts w:cs="Arial"/>
          <w:sz w:val="13"/>
          <w:szCs w:val="13"/>
          <w:lang w:val="en-GB"/>
        </w:rPr>
        <w:t>UNDP Human Development Reports Gender Inequality Index. 2014.</w:t>
      </w:r>
      <w:r w:rsidRPr="00E73664">
        <w:rPr>
          <w:rFonts w:cs="Arial"/>
          <w:sz w:val="13"/>
          <w:szCs w:val="13"/>
        </w:rPr>
        <w:t xml:space="preserve"> </w:t>
      </w:r>
      <w:hyperlink r:id="rId4" w:history="1">
        <w:r w:rsidRPr="00E73664">
          <w:rPr>
            <w:rStyle w:val="Hyperlink"/>
            <w:sz w:val="13"/>
            <w:szCs w:val="13"/>
          </w:rPr>
          <w:t>http://hdr.undp.org/en/composite/GII</w:t>
        </w:r>
      </w:hyperlink>
      <w:r w:rsidRPr="00E73664">
        <w:rPr>
          <w:sz w:val="13"/>
          <w:szCs w:val="13"/>
        </w:rPr>
        <w:t xml:space="preserve">. </w:t>
      </w:r>
    </w:p>
  </w:endnote>
  <w:endnote w:id="10">
    <w:p w:rsidR="0040341E" w:rsidRPr="00E73664" w:rsidRDefault="0040341E">
      <w:pPr>
        <w:pStyle w:val="EndnoteText"/>
        <w:rPr>
          <w:sz w:val="13"/>
          <w:szCs w:val="13"/>
        </w:rPr>
      </w:pPr>
      <w:r w:rsidRPr="00E73664">
        <w:rPr>
          <w:rStyle w:val="EndnoteReference"/>
          <w:sz w:val="13"/>
          <w:szCs w:val="13"/>
        </w:rPr>
        <w:endnoteRef/>
      </w:r>
      <w:r w:rsidRPr="00E73664">
        <w:rPr>
          <w:sz w:val="13"/>
          <w:szCs w:val="13"/>
        </w:rPr>
        <w:t xml:space="preserve"> Malawi Demographic and Health Survey. 2015-16</w:t>
      </w:r>
      <w:r w:rsidR="00796142" w:rsidRPr="00E73664">
        <w:rPr>
          <w:sz w:val="13"/>
          <w:szCs w:val="13"/>
        </w:rPr>
        <w:t xml:space="preserve">. </w:t>
      </w:r>
      <w:r w:rsidRPr="00E73664">
        <w:rPr>
          <w:sz w:val="13"/>
          <w:szCs w:val="13"/>
        </w:rPr>
        <w:t>13.</w:t>
      </w:r>
    </w:p>
  </w:endnote>
  <w:endnote w:id="11">
    <w:p w:rsidR="00937C5D" w:rsidRPr="00E73664" w:rsidRDefault="00937C5D">
      <w:pPr>
        <w:pStyle w:val="EndnoteText"/>
        <w:rPr>
          <w:sz w:val="13"/>
          <w:szCs w:val="13"/>
        </w:rPr>
      </w:pPr>
      <w:r w:rsidRPr="00E73664">
        <w:rPr>
          <w:rStyle w:val="EndnoteReference"/>
          <w:sz w:val="13"/>
          <w:szCs w:val="13"/>
        </w:rPr>
        <w:endnoteRef/>
      </w:r>
      <w:r w:rsidRPr="00E73664">
        <w:rPr>
          <w:sz w:val="13"/>
          <w:szCs w:val="13"/>
        </w:rPr>
        <w:t xml:space="preserve"> The Global Gender Gap Report. 2016. WEF. 242.</w:t>
      </w:r>
    </w:p>
  </w:endnote>
  <w:endnote w:id="12">
    <w:p w:rsidR="00AA4620" w:rsidRPr="00E73664" w:rsidRDefault="00AA4620">
      <w:pPr>
        <w:pStyle w:val="EndnoteText"/>
        <w:rPr>
          <w:sz w:val="13"/>
          <w:szCs w:val="13"/>
        </w:rPr>
      </w:pPr>
      <w:r w:rsidRPr="00E73664">
        <w:rPr>
          <w:rStyle w:val="EndnoteReference"/>
          <w:sz w:val="13"/>
          <w:szCs w:val="13"/>
        </w:rPr>
        <w:endnoteRef/>
      </w:r>
      <w:r w:rsidRPr="00E73664">
        <w:rPr>
          <w:sz w:val="13"/>
          <w:szCs w:val="13"/>
        </w:rPr>
        <w:t xml:space="preserve"> Malawi Demographic and Health Survey. 2010. 228.</w:t>
      </w:r>
    </w:p>
  </w:endnote>
  <w:endnote w:id="13">
    <w:p w:rsidR="00ED480C" w:rsidRPr="00E73664" w:rsidRDefault="00ED480C">
      <w:pPr>
        <w:pStyle w:val="EndnoteText"/>
        <w:rPr>
          <w:sz w:val="13"/>
          <w:szCs w:val="13"/>
        </w:rPr>
      </w:pPr>
      <w:r w:rsidRPr="00E73664">
        <w:rPr>
          <w:rStyle w:val="EndnoteReference"/>
          <w:sz w:val="13"/>
          <w:szCs w:val="13"/>
        </w:rPr>
        <w:endnoteRef/>
      </w:r>
      <w:r w:rsidRPr="00E73664">
        <w:rPr>
          <w:sz w:val="13"/>
          <w:szCs w:val="13"/>
        </w:rPr>
        <w:t xml:space="preserve"> </w:t>
      </w:r>
      <w:r w:rsidR="00796142" w:rsidRPr="00E73664">
        <w:rPr>
          <w:sz w:val="13"/>
          <w:szCs w:val="13"/>
        </w:rPr>
        <w:t>Ibid.</w:t>
      </w:r>
      <w:r w:rsidRPr="00E73664">
        <w:rPr>
          <w:sz w:val="13"/>
          <w:szCs w:val="13"/>
        </w:rPr>
        <w:t xml:space="preserve"> 13.</w:t>
      </w:r>
    </w:p>
  </w:endnote>
  <w:endnote w:id="14">
    <w:p w:rsidR="00E83FEF" w:rsidRPr="00E73664" w:rsidRDefault="00E83FEF">
      <w:pPr>
        <w:pStyle w:val="EndnoteText"/>
        <w:rPr>
          <w:sz w:val="13"/>
          <w:szCs w:val="13"/>
        </w:rPr>
      </w:pPr>
      <w:r w:rsidRPr="00E73664">
        <w:rPr>
          <w:rStyle w:val="EndnoteReference"/>
          <w:sz w:val="13"/>
          <w:szCs w:val="13"/>
        </w:rPr>
        <w:endnoteRef/>
      </w:r>
      <w:r w:rsidRPr="00E73664">
        <w:rPr>
          <w:sz w:val="13"/>
          <w:szCs w:val="13"/>
        </w:rPr>
        <w:t xml:space="preserve"> </w:t>
      </w:r>
      <w:r w:rsidR="00796142" w:rsidRPr="00E73664">
        <w:rPr>
          <w:sz w:val="13"/>
          <w:szCs w:val="13"/>
        </w:rPr>
        <w:t>Ibid.</w:t>
      </w:r>
      <w:r w:rsidRPr="00E73664">
        <w:rPr>
          <w:sz w:val="13"/>
          <w:szCs w:val="13"/>
        </w:rPr>
        <w:t xml:space="preserve"> 31.</w:t>
      </w:r>
    </w:p>
  </w:endnote>
  <w:endnote w:id="15">
    <w:p w:rsidR="00F66D9C" w:rsidRPr="00E73664" w:rsidRDefault="00F66D9C">
      <w:pPr>
        <w:pStyle w:val="EndnoteText"/>
        <w:rPr>
          <w:sz w:val="13"/>
          <w:szCs w:val="13"/>
        </w:rPr>
      </w:pPr>
      <w:r w:rsidRPr="00E73664">
        <w:rPr>
          <w:rStyle w:val="EndnoteReference"/>
          <w:sz w:val="13"/>
          <w:szCs w:val="13"/>
        </w:rPr>
        <w:endnoteRef/>
      </w:r>
      <w:r w:rsidRPr="00E73664">
        <w:rPr>
          <w:sz w:val="13"/>
          <w:szCs w:val="13"/>
        </w:rPr>
        <w:t xml:space="preserve"> </w:t>
      </w:r>
      <w:r w:rsidR="00796142" w:rsidRPr="00E73664">
        <w:rPr>
          <w:sz w:val="13"/>
          <w:szCs w:val="13"/>
        </w:rPr>
        <w:t>Ibid.</w:t>
      </w:r>
      <w:r w:rsidR="00127583" w:rsidRPr="00E73664">
        <w:rPr>
          <w:sz w:val="13"/>
          <w:szCs w:val="13"/>
        </w:rPr>
        <w:t xml:space="preserve"> 224.</w:t>
      </w:r>
    </w:p>
  </w:endnote>
  <w:endnote w:id="16">
    <w:p w:rsidR="00AA4620" w:rsidRPr="00E73664" w:rsidRDefault="00AA4620">
      <w:pPr>
        <w:pStyle w:val="EndnoteText"/>
        <w:rPr>
          <w:sz w:val="13"/>
          <w:szCs w:val="13"/>
        </w:rPr>
      </w:pPr>
      <w:r w:rsidRPr="00E73664">
        <w:rPr>
          <w:rStyle w:val="EndnoteReference"/>
          <w:sz w:val="13"/>
          <w:szCs w:val="13"/>
        </w:rPr>
        <w:endnoteRef/>
      </w:r>
      <w:r w:rsidRPr="00E73664">
        <w:rPr>
          <w:sz w:val="13"/>
          <w:szCs w:val="13"/>
        </w:rPr>
        <w:t xml:space="preserve"> </w:t>
      </w:r>
      <w:r w:rsidR="00796142" w:rsidRPr="00E73664">
        <w:rPr>
          <w:sz w:val="13"/>
          <w:szCs w:val="13"/>
        </w:rPr>
        <w:t xml:space="preserve">Ibid. </w:t>
      </w:r>
      <w:r w:rsidRPr="00E73664">
        <w:rPr>
          <w:sz w:val="13"/>
          <w:szCs w:val="13"/>
        </w:rPr>
        <w:t>35.</w:t>
      </w:r>
    </w:p>
  </w:endnote>
  <w:endnote w:id="17">
    <w:p w:rsidR="004E4A68" w:rsidRPr="00E73664" w:rsidRDefault="004E4A68">
      <w:pPr>
        <w:pStyle w:val="EndnoteText"/>
        <w:rPr>
          <w:sz w:val="13"/>
          <w:szCs w:val="13"/>
        </w:rPr>
      </w:pPr>
      <w:r w:rsidRPr="00E73664">
        <w:rPr>
          <w:rStyle w:val="EndnoteReference"/>
          <w:sz w:val="13"/>
          <w:szCs w:val="13"/>
        </w:rPr>
        <w:endnoteRef/>
      </w:r>
      <w:r w:rsidRPr="00E73664">
        <w:rPr>
          <w:sz w:val="13"/>
          <w:szCs w:val="13"/>
        </w:rPr>
        <w:t xml:space="preserve"> Child Labor and Forced Labor Reports. Malawi. 2015. US Department of Labor. </w:t>
      </w:r>
      <w:hyperlink r:id="rId5" w:history="1">
        <w:r w:rsidRPr="00E73664">
          <w:rPr>
            <w:rStyle w:val="Hyperlink"/>
            <w:sz w:val="13"/>
            <w:szCs w:val="13"/>
          </w:rPr>
          <w:t>https://www.dol.gov/agencies/ilab/resources/reports/child-labor/malawi</w:t>
        </w:r>
      </w:hyperlink>
      <w:r w:rsidRPr="00E73664">
        <w:rPr>
          <w:sz w:val="13"/>
          <w:szCs w:val="13"/>
        </w:rPr>
        <w:t xml:space="preserve">. </w:t>
      </w:r>
    </w:p>
  </w:endnote>
  <w:endnote w:id="18">
    <w:p w:rsidR="005774D9" w:rsidRPr="00E73664" w:rsidRDefault="005774D9">
      <w:pPr>
        <w:pStyle w:val="EndnoteText"/>
        <w:rPr>
          <w:sz w:val="13"/>
          <w:szCs w:val="13"/>
        </w:rPr>
      </w:pPr>
      <w:r w:rsidRPr="00E73664">
        <w:rPr>
          <w:rStyle w:val="EndnoteReference"/>
          <w:sz w:val="13"/>
          <w:szCs w:val="13"/>
        </w:rPr>
        <w:endnoteRef/>
      </w:r>
      <w:r w:rsidRPr="00E73664">
        <w:rPr>
          <w:sz w:val="13"/>
          <w:szCs w:val="13"/>
        </w:rPr>
        <w:t xml:space="preserve"> Women and Power: Representation and Influence in Malawi’s Parliament. 2015. ODI Report. </w:t>
      </w:r>
      <w:hyperlink r:id="rId6" w:history="1">
        <w:r w:rsidRPr="00E73664">
          <w:rPr>
            <w:rStyle w:val="Hyperlink"/>
            <w:sz w:val="13"/>
            <w:szCs w:val="13"/>
          </w:rPr>
          <w:t>https://www.odi.org/sites/odi.org.uk/files/odi-assets/publications-opinion-files/10289.pdf</w:t>
        </w:r>
      </w:hyperlink>
      <w:r w:rsidRPr="00E73664">
        <w:rPr>
          <w:sz w:val="13"/>
          <w:szCs w:val="13"/>
        </w:rPr>
        <w:t xml:space="preserve">. </w:t>
      </w:r>
    </w:p>
  </w:endnote>
  <w:endnote w:id="19">
    <w:p w:rsidR="0026044A" w:rsidRPr="00E73664" w:rsidRDefault="0026044A">
      <w:pPr>
        <w:pStyle w:val="EndnoteText"/>
        <w:rPr>
          <w:sz w:val="13"/>
          <w:szCs w:val="13"/>
        </w:rPr>
      </w:pPr>
      <w:r w:rsidRPr="00E73664">
        <w:rPr>
          <w:rStyle w:val="EndnoteReference"/>
          <w:sz w:val="13"/>
          <w:szCs w:val="13"/>
        </w:rPr>
        <w:endnoteRef/>
      </w:r>
      <w:r w:rsidRPr="00E73664">
        <w:rPr>
          <w:sz w:val="13"/>
          <w:szCs w:val="13"/>
        </w:rPr>
        <w:t xml:space="preserve"> Social Institutions and Gender Index. Malawi. 2014. </w:t>
      </w:r>
      <w:hyperlink r:id="rId7" w:history="1">
        <w:r w:rsidRPr="00E73664">
          <w:rPr>
            <w:rStyle w:val="Hyperlink"/>
            <w:sz w:val="13"/>
            <w:szCs w:val="13"/>
          </w:rPr>
          <w:t>http://www.genderindex.org/country/malawi</w:t>
        </w:r>
      </w:hyperlink>
      <w:r w:rsidRPr="00E73664">
        <w:rPr>
          <w:sz w:val="13"/>
          <w:szCs w:val="13"/>
        </w:rPr>
        <w:t xml:space="preserve">. </w:t>
      </w:r>
    </w:p>
  </w:endnote>
  <w:endnote w:id="20">
    <w:p w:rsidR="006252A7" w:rsidRPr="00E73664" w:rsidRDefault="006252A7" w:rsidP="006252A7">
      <w:pPr>
        <w:pStyle w:val="EndnoteText"/>
        <w:rPr>
          <w:sz w:val="13"/>
          <w:szCs w:val="13"/>
        </w:rPr>
      </w:pPr>
      <w:r w:rsidRPr="00E73664">
        <w:rPr>
          <w:rStyle w:val="EndnoteReference"/>
          <w:sz w:val="13"/>
          <w:szCs w:val="13"/>
        </w:rPr>
        <w:endnoteRef/>
      </w:r>
      <w:r w:rsidRPr="00E73664">
        <w:rPr>
          <w:sz w:val="13"/>
          <w:szCs w:val="13"/>
        </w:rPr>
        <w:t xml:space="preserve"> Malawi Demographic and Health Survey. 2010. 242.</w:t>
      </w:r>
    </w:p>
  </w:endnote>
  <w:endnote w:id="21">
    <w:p w:rsidR="006252A7" w:rsidRPr="00E73664" w:rsidRDefault="006252A7" w:rsidP="006252A7">
      <w:pPr>
        <w:pStyle w:val="EndnoteText"/>
        <w:rPr>
          <w:sz w:val="13"/>
          <w:szCs w:val="13"/>
        </w:rPr>
      </w:pPr>
      <w:r w:rsidRPr="00E73664">
        <w:rPr>
          <w:rStyle w:val="EndnoteReference"/>
          <w:sz w:val="13"/>
          <w:szCs w:val="13"/>
        </w:rPr>
        <w:endnoteRef/>
      </w:r>
      <w:r w:rsidRPr="00E73664">
        <w:rPr>
          <w:sz w:val="13"/>
          <w:szCs w:val="13"/>
        </w:rPr>
        <w:t xml:space="preserve"> </w:t>
      </w:r>
      <w:r w:rsidR="00796142" w:rsidRPr="00E73664">
        <w:rPr>
          <w:sz w:val="13"/>
          <w:szCs w:val="13"/>
        </w:rPr>
        <w:t xml:space="preserve">Ibid. </w:t>
      </w:r>
      <w:r w:rsidRPr="00E73664">
        <w:rPr>
          <w:sz w:val="13"/>
          <w:szCs w:val="13"/>
        </w:rPr>
        <w:t>246.</w:t>
      </w:r>
    </w:p>
  </w:endnote>
  <w:endnote w:id="22">
    <w:p w:rsidR="00C36C57" w:rsidRPr="00E73664" w:rsidRDefault="00C36C57">
      <w:pPr>
        <w:pStyle w:val="EndnoteText"/>
        <w:rPr>
          <w:sz w:val="13"/>
          <w:szCs w:val="13"/>
        </w:rPr>
      </w:pPr>
      <w:r w:rsidRPr="00E73664">
        <w:rPr>
          <w:rStyle w:val="EndnoteReference"/>
          <w:sz w:val="13"/>
          <w:szCs w:val="13"/>
        </w:rPr>
        <w:endnoteRef/>
      </w:r>
      <w:r w:rsidRPr="00E73664">
        <w:rPr>
          <w:sz w:val="13"/>
          <w:szCs w:val="13"/>
        </w:rPr>
        <w:t xml:space="preserve"> </w:t>
      </w:r>
      <w:r w:rsidR="00796142" w:rsidRPr="00E73664">
        <w:rPr>
          <w:sz w:val="13"/>
          <w:szCs w:val="13"/>
        </w:rPr>
        <w:t xml:space="preserve">Ibid. </w:t>
      </w:r>
      <w:r w:rsidRPr="00E73664">
        <w:rPr>
          <w:sz w:val="13"/>
          <w:szCs w:val="13"/>
        </w:rPr>
        <w:t>76.</w:t>
      </w:r>
    </w:p>
  </w:endnote>
  <w:endnote w:id="23">
    <w:p w:rsidR="007E2379" w:rsidRPr="00E73664" w:rsidRDefault="007E2379" w:rsidP="007E2379">
      <w:pPr>
        <w:pStyle w:val="EndnoteText"/>
        <w:rPr>
          <w:sz w:val="13"/>
          <w:szCs w:val="13"/>
        </w:rPr>
      </w:pPr>
      <w:r w:rsidRPr="00E73664">
        <w:rPr>
          <w:rStyle w:val="EndnoteReference"/>
          <w:sz w:val="13"/>
          <w:szCs w:val="13"/>
        </w:rPr>
        <w:endnoteRef/>
      </w:r>
      <w:r w:rsidRPr="00E73664">
        <w:rPr>
          <w:sz w:val="13"/>
          <w:szCs w:val="13"/>
        </w:rPr>
        <w:t xml:space="preserve"> Malawi Demographic and Health Survey. 2015-16</w:t>
      </w:r>
      <w:r w:rsidR="008314F3" w:rsidRPr="00E73664">
        <w:rPr>
          <w:sz w:val="13"/>
          <w:szCs w:val="13"/>
        </w:rPr>
        <w:t>: Key Indicators</w:t>
      </w:r>
      <w:r w:rsidRPr="00E73664">
        <w:rPr>
          <w:sz w:val="13"/>
          <w:szCs w:val="13"/>
        </w:rPr>
        <w:t xml:space="preserve">. </w:t>
      </w:r>
      <w:hyperlink r:id="rId8" w:history="1">
        <w:r w:rsidRPr="00E73664">
          <w:rPr>
            <w:rStyle w:val="Hyperlink"/>
            <w:sz w:val="13"/>
            <w:szCs w:val="13"/>
          </w:rPr>
          <w:t>https://dhsprogram.com/pubs/pdf/PR73/PR73.pdf</w:t>
        </w:r>
      </w:hyperlink>
      <w:r w:rsidRPr="00E73664">
        <w:rPr>
          <w:sz w:val="13"/>
          <w:szCs w:val="13"/>
        </w:rPr>
        <w:t>. 14.</w:t>
      </w:r>
    </w:p>
  </w:endnote>
  <w:endnote w:id="24">
    <w:p w:rsidR="00B235B8" w:rsidRDefault="00B235B8">
      <w:pPr>
        <w:pStyle w:val="EndnoteText"/>
      </w:pPr>
      <w:r w:rsidRPr="00E73664">
        <w:rPr>
          <w:rStyle w:val="EndnoteReference"/>
          <w:sz w:val="13"/>
          <w:szCs w:val="13"/>
        </w:rPr>
        <w:endnoteRef/>
      </w:r>
      <w:r w:rsidRPr="00E73664">
        <w:rPr>
          <w:sz w:val="13"/>
          <w:szCs w:val="13"/>
        </w:rPr>
        <w:t xml:space="preserve"> Malawi Demographic and Health Survey. 2010. 40.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fficina Sans ITC TT">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Arial"/>
    <w:panose1 w:val="00000000000000000000"/>
    <w:charset w:val="00"/>
    <w:family w:val="auto"/>
    <w:pitch w:val="variable"/>
    <w:sig w:usb0="00000003" w:usb1="00000000" w:usb2="00000000" w:usb3="00000000" w:csb0="00000001" w:csb1="00000000"/>
  </w:font>
  <w:font w:name="ITC Officina Sans Book">
    <w:altName w:val="Cambria"/>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1B69" w:rsidRPr="00BC1A63" w:rsidRDefault="005A67B2" w:rsidP="00BC1A63">
    <w:pPr>
      <w:pStyle w:val="Footer"/>
      <w:ind w:left="-1276"/>
      <w:rPr>
        <w:b/>
      </w:rPr>
    </w:pPr>
    <w:r w:rsidRPr="005A67B2">
      <w:rPr>
        <w:b/>
        <w:noProof/>
        <w:lang w:val="en-AU" w:eastAsia="en-AU"/>
      </w:rPr>
      <w:pict>
        <v:rect id="Rectangle 15" o:spid="_x0000_s4098" style="position:absolute;left:0;text-align:left;margin-left:-117pt;margin-top:-242.85pt;width:728.15pt;height:436.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" fillcolor="#f79646 [3209]" stroked="f" strokecolor="#f2f2f2 [3041]" strokeweight="3pt">
          <v:shadow color="#974706 [1609]" opacity=".5" offset="1pt,3pt"/>
          <w10:wrap anchorx="margin"/>
        </v:rect>
      </w:pict>
    </w:r>
    <w:r w:rsidR="00BE1B69">
      <w:rPr>
        <w:b/>
      </w:rPr>
      <w:t xml:space="preserv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1B69" w:rsidRPr="00B6795E" w:rsidRDefault="00BE1B69" w:rsidP="006812FE">
    <w:pPr>
      <w:pStyle w:val="Footer"/>
      <w:tabs>
        <w:tab w:val="clear" w:pos="4513"/>
        <w:tab w:val="clear" w:pos="9026"/>
        <w:tab w:val="left" w:pos="1019"/>
      </w:tabs>
      <w:ind w:left="-426"/>
    </w:pPr>
    <w:r w:rsidRPr="006812FE">
      <w:rPr>
        <w:noProof/>
      </w:rPr>
      <w:drawing>
        <wp:inline distT="0" distB="0" distL="0" distR="0">
          <wp:extent cx="656114" cy="604104"/>
          <wp:effectExtent l="19050" t="0" r="0" b="0"/>
          <wp:docPr id="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a:blip r:embed="rId1"/>
                  <a:stretch>
                    <a:fillRect/>
                  </a:stretch>
                </pic:blipFill>
                <pic:spPr>
                  <a:xfrm>
                    <a:off x="0" y="0"/>
                    <a:ext cx="656114" cy="604104"/>
                  </a:xfrm>
                  <a:prstGeom prst="rect">
                    <a:avLst/>
                  </a:prstGeom>
                </pic:spPr>
              </pic:pic>
            </a:graphicData>
          </a:graphic>
        </wp:inline>
      </w:drawing>
    </w:r>
    <w:r>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873AA" w:rsidRDefault="005873AA" w:rsidP="008C2949">
      <w:r>
        <w:separator/>
      </w:r>
    </w:p>
  </w:footnote>
  <w:footnote w:type="continuationSeparator" w:id="1">
    <w:p w:rsidR="005873AA" w:rsidRDefault="005873AA" w:rsidP="008C294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1B69" w:rsidRPr="002D6D0C" w:rsidRDefault="00BE1B69" w:rsidP="00BC1A63">
    <w:pPr>
      <w:pStyle w:val="Header"/>
      <w:ind w:left="-567" w:hanging="851"/>
      <w:rPr>
        <w:rFonts w:ascii="Officina Sans ITC TT" w:hAnsi="Officina Sans ITC TT"/>
        <w:sz w:val="52"/>
        <w:szCs w:val="52"/>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1B69" w:rsidRDefault="005A67B2" w:rsidP="0059752C">
    <w:pPr>
      <w:pStyle w:val="Header"/>
      <w:ind w:left="-1276"/>
    </w:pPr>
    <w:r w:rsidRPr="005A67B2">
      <w:rPr>
        <w:noProof/>
        <w:lang w:val="en-AU" w:eastAsia="en-AU"/>
      </w:rPr>
      <w:pict>
        <v:shapetype id="_x0000_t202" coordsize="21600,21600" o:spt="202" path="m0,0l0,21600,21600,21600,21600,0xe">
          <v:stroke joinstyle="miter"/>
          <v:path gradientshapeok="t" o:connecttype="rect"/>
        </v:shapetype>
        <v:shape id="Text Box 11" o:spid="_x0000_s4097" type="#_x0000_t202" style="position:absolute;left:0;text-align:left;margin-left:-54.2pt;margin-top:168.75pt;width:611.65pt;height:139.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" fillcolor="#f79646 [3209]" stroked="f" strokecolor="#f2f2f2 [3041]" strokeweight="3pt">
          <v:shadow color="#974706 [1609]" opacity=".5" offset="1pt,3pt"/>
          <v:textbox>
            <w:txbxContent>
              <w:p w:rsidR="00BE1B69" w:rsidRPr="001F2A47" w:rsidRDefault="00BE1B69" w:rsidP="00E71D4E">
                <w:pPr>
                  <w:ind w:left="1418"/>
                  <w:rPr>
                    <w:rFonts w:ascii="ITC Officina Sans Book" w:hAnsi="ITC Officina Sans Book"/>
                    <w:color w:val="FFFFFF" w:themeColor="background1"/>
                    <w:sz w:val="44"/>
                    <w:szCs w:val="44"/>
                  </w:rPr>
                </w:pPr>
              </w:p>
            </w:txbxContent>
          </v:textbox>
        </v:shape>
      </w:pict>
    </w:r>
    <w:r w:rsidRPr="005A67B2">
      <w:rPr>
        <w:noProof/>
        <w:lang w:val="en-AU" w:eastAsia="en-AU"/>
      </w:rPr>
      <w:pict>
        <v:shape id="Text Box 19" o:spid="_x0000_s4096" type="#_x0000_t202" style="position:absolute;left:0;text-align:left;margin-left:-15.2pt;margin-top:213pt;width:244.75pt;height:94.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" filled="f" fillcolor="#f79646 [3209]" stroked="f" strokecolor="#f2f2f2 [3041]" strokeweight="3pt">
          <v:textbox>
            <w:txbxContent>
              <w:p w:rsidR="00BE1B69" w:rsidRPr="003605B9" w:rsidRDefault="003605B9">
                <w:pPr>
                  <w:rPr>
                    <w:rFonts w:cs="Arial"/>
                    <w:b/>
                    <w:color w:val="FFFFFF" w:themeColor="background1"/>
                    <w:sz w:val="80"/>
                    <w:szCs w:val="80"/>
                  </w:rPr>
                </w:pPr>
                <w:r w:rsidRPr="003605B9">
                  <w:rPr>
                    <w:rFonts w:cs="Arial"/>
                    <w:b/>
                    <w:color w:val="FFFFFF" w:themeColor="background1"/>
                    <w:sz w:val="80"/>
                    <w:szCs w:val="80"/>
                  </w:rPr>
                  <w:t>Malawi</w:t>
                </w:r>
              </w:p>
            </w:txbxContent>
          </v:textbox>
        </v:shape>
      </w:pict>
    </w:r>
    <w:r w:rsidR="00BE1B69" w:rsidRPr="0059752C">
      <w:rPr>
        <w:noProof/>
      </w:rPr>
      <w:drawing>
        <wp:inline distT="0" distB="0" distL="0" distR="0">
          <wp:extent cx="7781925" cy="221731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rto="http://schemas.microsoft.com/office/word/2006/arto" val="0"/>
                      </a:ext>
                    </a:extLst>
                  </a:blip>
                  <a:stretch>
                    <a:fillRect/>
                  </a:stretch>
                </pic:blipFill>
                <pic:spPr>
                  <a:xfrm>
                    <a:off x="0" y="0"/>
                    <a:ext cx="7804504" cy="2223744"/>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464222"/>
    <w:multiLevelType w:val="hybridMultilevel"/>
    <w:tmpl w:val="F564A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AD0F79"/>
    <w:multiLevelType w:val="hybridMultilevel"/>
    <w:tmpl w:val="811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6623C2"/>
    <w:multiLevelType w:val="hybridMultilevel"/>
    <w:tmpl w:val="02A8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CB13BA"/>
    <w:multiLevelType w:val="hybridMultilevel"/>
    <w:tmpl w:val="1A4C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B01F95"/>
    <w:multiLevelType w:val="hybridMultilevel"/>
    <w:tmpl w:val="AD3E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Officina Sans ITC T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Officina Sans ITC TT"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Officina Sans ITC TT"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97524B"/>
    <w:multiLevelType w:val="hybridMultilevel"/>
    <w:tmpl w:val="80C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A346ED"/>
    <w:multiLevelType w:val="hybridMultilevel"/>
    <w:tmpl w:val="63C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A34E5D"/>
    <w:multiLevelType w:val="hybridMultilevel"/>
    <w:tmpl w:val="8D8CD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Officina Sans ITC T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Officina Sans ITC TT"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Officina Sans ITC TT"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E45173"/>
    <w:multiLevelType w:val="hybridMultilevel"/>
    <w:tmpl w:val="FAD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5"/>
  </w:num>
  <w:num w:numId="2">
    <w:abstractNumId w:val="16"/>
  </w:num>
  <w:num w:numId="3">
    <w:abstractNumId w:val="9"/>
  </w:num>
  <w:num w:numId="4">
    <w:abstractNumId w:val="6"/>
  </w:num>
  <w:num w:numId="5">
    <w:abstractNumId w:val="12"/>
  </w:num>
  <w:num w:numId="6">
    <w:abstractNumId w:val="8"/>
  </w:num>
  <w:num w:numId="7">
    <w:abstractNumId w:val="13"/>
  </w:num>
  <w:num w:numId="8">
    <w:abstractNumId w:val="5"/>
  </w:num>
  <w:num w:numId="9">
    <w:abstractNumId w:val="1"/>
  </w:num>
  <w:num w:numId="10">
    <w:abstractNumId w:val="10"/>
  </w:num>
  <w:num w:numId="11">
    <w:abstractNumId w:val="2"/>
  </w:num>
  <w:num w:numId="12">
    <w:abstractNumId w:val="4"/>
  </w:num>
  <w:num w:numId="13">
    <w:abstractNumId w:val="3"/>
  </w:num>
  <w:num w:numId="14">
    <w:abstractNumId w:val="0"/>
  </w:num>
  <w:num w:numId="15">
    <w:abstractNumId w:val="11"/>
  </w:num>
  <w:num w:numId="16">
    <w:abstractNumId w:val="7"/>
  </w:num>
  <w:num w:numId="17">
    <w:abstractNumId w:val="1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trackRevisions/>
  <w:doNotTrackMoves/>
  <w:defaultTabStop w:val="720"/>
  <w:characterSpacingControl w:val="doNotCompress"/>
  <w:savePreviewPicture/>
  <w:hdrShapeDefaults>
    <o:shapedefaults v:ext="edit" spidmax="5122" fillcolor="none [3209]" stroke="f" strokecolor="none [3041]">
      <v:fill color="none [3209]"/>
      <v:stroke color="none [3041]" weight="3pt" on="f"/>
      <v:shadow type="perspective" color="none [1609]" opacity=".5" offset="1pt,3pt" offset2="-1pt,2pt"/>
      <o:colormru v:ext="edit" colors="#f93"/>
    </o:shapedefaults>
    <o:shapelayout v:ext="edit">
      <o:idmap v:ext="edit" data="4"/>
    </o:shapelayout>
  </w:hdrShapeDefaults>
  <w:footnotePr>
    <w:footnote w:id="0"/>
    <w:footnote w:id="1"/>
  </w:footnotePr>
  <w:endnotePr>
    <w:numFmt w:val="decimal"/>
    <w:endnote w:id="0"/>
    <w:endnote w:id="1"/>
  </w:endnotePr>
  <w:compat/>
  <w:rsids>
    <w:rsidRoot w:val="008C2949"/>
    <w:rsid w:val="00015248"/>
    <w:rsid w:val="00025FFA"/>
    <w:rsid w:val="00030DBE"/>
    <w:rsid w:val="00035796"/>
    <w:rsid w:val="00063BD7"/>
    <w:rsid w:val="00085533"/>
    <w:rsid w:val="000A6E5D"/>
    <w:rsid w:val="000C220F"/>
    <w:rsid w:val="000D01C5"/>
    <w:rsid w:val="000D380F"/>
    <w:rsid w:val="000E4D97"/>
    <w:rsid w:val="000F10E1"/>
    <w:rsid w:val="000F2BB8"/>
    <w:rsid w:val="00102042"/>
    <w:rsid w:val="00102561"/>
    <w:rsid w:val="00125A69"/>
    <w:rsid w:val="00127583"/>
    <w:rsid w:val="00135D80"/>
    <w:rsid w:val="0014601C"/>
    <w:rsid w:val="00152A75"/>
    <w:rsid w:val="00154818"/>
    <w:rsid w:val="0017649A"/>
    <w:rsid w:val="001809A2"/>
    <w:rsid w:val="001833D2"/>
    <w:rsid w:val="00191775"/>
    <w:rsid w:val="0019187F"/>
    <w:rsid w:val="001936C9"/>
    <w:rsid w:val="00195917"/>
    <w:rsid w:val="001A60B3"/>
    <w:rsid w:val="001B374D"/>
    <w:rsid w:val="001B46C4"/>
    <w:rsid w:val="001F2A47"/>
    <w:rsid w:val="001F75F6"/>
    <w:rsid w:val="001F7E91"/>
    <w:rsid w:val="00223C58"/>
    <w:rsid w:val="00241559"/>
    <w:rsid w:val="00252229"/>
    <w:rsid w:val="0026044A"/>
    <w:rsid w:val="002654D8"/>
    <w:rsid w:val="00267092"/>
    <w:rsid w:val="00290EE7"/>
    <w:rsid w:val="002971A7"/>
    <w:rsid w:val="002D19FC"/>
    <w:rsid w:val="002D6D0C"/>
    <w:rsid w:val="002F290E"/>
    <w:rsid w:val="002F7DE3"/>
    <w:rsid w:val="00311F95"/>
    <w:rsid w:val="00320DCE"/>
    <w:rsid w:val="0032556F"/>
    <w:rsid w:val="00332F3D"/>
    <w:rsid w:val="003404F0"/>
    <w:rsid w:val="003605B9"/>
    <w:rsid w:val="003665C0"/>
    <w:rsid w:val="003712B3"/>
    <w:rsid w:val="0038457C"/>
    <w:rsid w:val="00390650"/>
    <w:rsid w:val="003A2FEC"/>
    <w:rsid w:val="003B2EEA"/>
    <w:rsid w:val="003B5633"/>
    <w:rsid w:val="003C5C5B"/>
    <w:rsid w:val="003D1A4D"/>
    <w:rsid w:val="003D5EDB"/>
    <w:rsid w:val="003E5806"/>
    <w:rsid w:val="0040341E"/>
    <w:rsid w:val="00424068"/>
    <w:rsid w:val="00425369"/>
    <w:rsid w:val="0044708E"/>
    <w:rsid w:val="00480982"/>
    <w:rsid w:val="00483C15"/>
    <w:rsid w:val="004A1220"/>
    <w:rsid w:val="004A3C27"/>
    <w:rsid w:val="004A4D94"/>
    <w:rsid w:val="004A5DA9"/>
    <w:rsid w:val="004C23CC"/>
    <w:rsid w:val="004C44E4"/>
    <w:rsid w:val="004D3813"/>
    <w:rsid w:val="004E4A68"/>
    <w:rsid w:val="004F6CC9"/>
    <w:rsid w:val="00516B9C"/>
    <w:rsid w:val="00532BCD"/>
    <w:rsid w:val="005334D2"/>
    <w:rsid w:val="00546775"/>
    <w:rsid w:val="00564B2F"/>
    <w:rsid w:val="00571627"/>
    <w:rsid w:val="00573D1D"/>
    <w:rsid w:val="005774D9"/>
    <w:rsid w:val="00583A75"/>
    <w:rsid w:val="005873AA"/>
    <w:rsid w:val="0059752C"/>
    <w:rsid w:val="005A67B2"/>
    <w:rsid w:val="005C743D"/>
    <w:rsid w:val="005D1616"/>
    <w:rsid w:val="005D2179"/>
    <w:rsid w:val="005E17A5"/>
    <w:rsid w:val="005E5A10"/>
    <w:rsid w:val="005F4831"/>
    <w:rsid w:val="00616B8D"/>
    <w:rsid w:val="006252A7"/>
    <w:rsid w:val="00635A15"/>
    <w:rsid w:val="00654868"/>
    <w:rsid w:val="00665A8E"/>
    <w:rsid w:val="0067016F"/>
    <w:rsid w:val="00674BA4"/>
    <w:rsid w:val="006803D9"/>
    <w:rsid w:val="006812FE"/>
    <w:rsid w:val="00691CCD"/>
    <w:rsid w:val="006B2267"/>
    <w:rsid w:val="006C1728"/>
    <w:rsid w:val="006D246E"/>
    <w:rsid w:val="00731326"/>
    <w:rsid w:val="00732DEF"/>
    <w:rsid w:val="00735BD1"/>
    <w:rsid w:val="00750729"/>
    <w:rsid w:val="00755BE2"/>
    <w:rsid w:val="00772110"/>
    <w:rsid w:val="00777E63"/>
    <w:rsid w:val="00794842"/>
    <w:rsid w:val="00795FAE"/>
    <w:rsid w:val="00796142"/>
    <w:rsid w:val="007A2B5A"/>
    <w:rsid w:val="007A2BE7"/>
    <w:rsid w:val="007B7264"/>
    <w:rsid w:val="007E2379"/>
    <w:rsid w:val="00815897"/>
    <w:rsid w:val="00824288"/>
    <w:rsid w:val="008314F3"/>
    <w:rsid w:val="008B526F"/>
    <w:rsid w:val="008C2949"/>
    <w:rsid w:val="008D1676"/>
    <w:rsid w:val="008D1B5E"/>
    <w:rsid w:val="008D5929"/>
    <w:rsid w:val="008E3698"/>
    <w:rsid w:val="00906B46"/>
    <w:rsid w:val="00922B60"/>
    <w:rsid w:val="00934306"/>
    <w:rsid w:val="00937C5D"/>
    <w:rsid w:val="009535BF"/>
    <w:rsid w:val="00960DAC"/>
    <w:rsid w:val="009756F9"/>
    <w:rsid w:val="00984C96"/>
    <w:rsid w:val="009859DF"/>
    <w:rsid w:val="009C1847"/>
    <w:rsid w:val="009E54B2"/>
    <w:rsid w:val="00A079AC"/>
    <w:rsid w:val="00A14D2D"/>
    <w:rsid w:val="00A17538"/>
    <w:rsid w:val="00A259C2"/>
    <w:rsid w:val="00A42348"/>
    <w:rsid w:val="00A45313"/>
    <w:rsid w:val="00A52870"/>
    <w:rsid w:val="00A712D3"/>
    <w:rsid w:val="00A802EC"/>
    <w:rsid w:val="00A83713"/>
    <w:rsid w:val="00A83DC4"/>
    <w:rsid w:val="00AA4620"/>
    <w:rsid w:val="00AB0B2F"/>
    <w:rsid w:val="00AB6AE3"/>
    <w:rsid w:val="00AD6472"/>
    <w:rsid w:val="00B1110C"/>
    <w:rsid w:val="00B17F70"/>
    <w:rsid w:val="00B235B8"/>
    <w:rsid w:val="00B6795E"/>
    <w:rsid w:val="00B72073"/>
    <w:rsid w:val="00B747FA"/>
    <w:rsid w:val="00B75B50"/>
    <w:rsid w:val="00B76AD3"/>
    <w:rsid w:val="00BC1A63"/>
    <w:rsid w:val="00BC2B4C"/>
    <w:rsid w:val="00BC2E2E"/>
    <w:rsid w:val="00BC3F5A"/>
    <w:rsid w:val="00BD36C6"/>
    <w:rsid w:val="00BD7261"/>
    <w:rsid w:val="00BD7AE0"/>
    <w:rsid w:val="00BE1B69"/>
    <w:rsid w:val="00C03534"/>
    <w:rsid w:val="00C15788"/>
    <w:rsid w:val="00C17646"/>
    <w:rsid w:val="00C36C57"/>
    <w:rsid w:val="00C4645C"/>
    <w:rsid w:val="00C50FB8"/>
    <w:rsid w:val="00C548D1"/>
    <w:rsid w:val="00C70B1C"/>
    <w:rsid w:val="00C76192"/>
    <w:rsid w:val="00C80AFA"/>
    <w:rsid w:val="00C95A41"/>
    <w:rsid w:val="00CC0CBF"/>
    <w:rsid w:val="00CC4A8A"/>
    <w:rsid w:val="00CC7FE6"/>
    <w:rsid w:val="00D002F5"/>
    <w:rsid w:val="00D124C7"/>
    <w:rsid w:val="00D173DE"/>
    <w:rsid w:val="00D319FB"/>
    <w:rsid w:val="00D42D2E"/>
    <w:rsid w:val="00D55E08"/>
    <w:rsid w:val="00D657F4"/>
    <w:rsid w:val="00D75EE7"/>
    <w:rsid w:val="00D81B60"/>
    <w:rsid w:val="00DA07D9"/>
    <w:rsid w:val="00DB4AE4"/>
    <w:rsid w:val="00DB689A"/>
    <w:rsid w:val="00DC30E0"/>
    <w:rsid w:val="00DD0FA3"/>
    <w:rsid w:val="00DE6C3A"/>
    <w:rsid w:val="00DF0328"/>
    <w:rsid w:val="00E07532"/>
    <w:rsid w:val="00E07D0D"/>
    <w:rsid w:val="00E11EE9"/>
    <w:rsid w:val="00E179BE"/>
    <w:rsid w:val="00E71847"/>
    <w:rsid w:val="00E71D4E"/>
    <w:rsid w:val="00E73664"/>
    <w:rsid w:val="00E823D3"/>
    <w:rsid w:val="00E83FEF"/>
    <w:rsid w:val="00E954CB"/>
    <w:rsid w:val="00EA0A95"/>
    <w:rsid w:val="00EB4898"/>
    <w:rsid w:val="00ED480C"/>
    <w:rsid w:val="00EF2F9F"/>
    <w:rsid w:val="00EF5F98"/>
    <w:rsid w:val="00F02541"/>
    <w:rsid w:val="00F13F7A"/>
    <w:rsid w:val="00F32B6F"/>
    <w:rsid w:val="00F44551"/>
    <w:rsid w:val="00F525B8"/>
    <w:rsid w:val="00F55449"/>
    <w:rsid w:val="00F66D9C"/>
    <w:rsid w:val="00F70AED"/>
    <w:rsid w:val="00FB1CD9"/>
    <w:rsid w:val="00FB7234"/>
    <w:rsid w:val="00FC7931"/>
    <w:rsid w:val="00FE13B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1" w:defQFormat="0" w:count="276">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5D1616"/>
    <w:pPr>
      <w:keepNext/>
      <w:keepLines/>
      <w:spacing w:line="276" w:lineRule="auto"/>
      <w:outlineLvl w:val="0"/>
    </w:pPr>
    <w:rPr>
      <w:rFonts w:ascii="HelveticaNeueLT Std" w:eastAsiaTheme="majorEastAsia" w:hAnsi="HelveticaNeueLT Std" w:cstheme="majorBidi"/>
      <w:b/>
      <w:bCs/>
      <w:color w:val="E36C0A" w:themeColor="accent6" w:themeShade="BF"/>
      <w:sz w:val="40"/>
      <w:szCs w:val="28"/>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5D1616"/>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basedOn w:val="Normal"/>
    <w:link w:val="FootnoteTextChar"/>
    <w:semiHidden/>
    <w:unhideWhenUsed/>
    <w:rsid w:val="002971A7"/>
    <w:rPr>
      <w:szCs w:val="20"/>
    </w:rPr>
  </w:style>
  <w:style w:type="character" w:customStyle="1" w:styleId="FootnoteTextChar">
    <w:name w:val="Footnote Text Char"/>
    <w:basedOn w:val="DefaultParagraphFont"/>
    <w:link w:val="FootnoteText"/>
    <w:semiHidden/>
    <w:rsid w:val="002971A7"/>
    <w:rPr>
      <w:rFonts w:ascii="Arial" w:eastAsia="Cambria" w:hAnsi="Arial" w:cs="Times New Roman"/>
      <w:sz w:val="20"/>
      <w:szCs w:val="20"/>
      <w:lang w:val="en-US"/>
    </w:rPr>
  </w:style>
  <w:style w:type="character" w:styleId="FootnoteReference">
    <w:name w:val="footnote reference"/>
    <w:basedOn w:val="DefaultParagraphFont"/>
    <w:semiHidden/>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s>
</file>

<file path=word/webSettings.xml><?xml version="1.0" encoding="utf-8"?>
<w:webSettings xmlns:r="http://schemas.openxmlformats.org/officeDocument/2006/relationships" xmlns:w="http://schemas.openxmlformats.org/wordprocessingml/2006/main">
  <w:divs>
    <w:div w:id="307785942">
      <w:bodyDiv w:val="1"/>
      <w:marLeft w:val="0"/>
      <w:marRight w:val="0"/>
      <w:marTop w:val="0"/>
      <w:marBottom w:val="0"/>
      <w:divBdr>
        <w:top w:val="none" w:sz="0" w:space="0" w:color="auto"/>
        <w:left w:val="none" w:sz="0" w:space="0" w:color="auto"/>
        <w:bottom w:val="none" w:sz="0" w:space="0" w:color="auto"/>
        <w:right w:val="none" w:sz="0" w:space="0" w:color="auto"/>
      </w:divBdr>
    </w:div>
    <w:div w:id="795021904">
      <w:bodyDiv w:val="1"/>
      <w:marLeft w:val="0"/>
      <w:marRight w:val="0"/>
      <w:marTop w:val="0"/>
      <w:marBottom w:val="0"/>
      <w:divBdr>
        <w:top w:val="none" w:sz="0" w:space="0" w:color="auto"/>
        <w:left w:val="none" w:sz="0" w:space="0" w:color="auto"/>
        <w:bottom w:val="none" w:sz="0" w:space="0" w:color="auto"/>
        <w:right w:val="none" w:sz="0" w:space="0" w:color="auto"/>
      </w:divBdr>
    </w:div>
    <w:div w:id="20290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dhsprogram.com/pubs/pdf/PR73/PR73.pdf" TargetMode="External"/><Relationship Id="rId4" Type="http://schemas.openxmlformats.org/officeDocument/2006/relationships/hyperlink" Target="http://hdr.undp.org/en/composite/GII" TargetMode="External"/><Relationship Id="rId5" Type="http://schemas.openxmlformats.org/officeDocument/2006/relationships/hyperlink" Target="https://www.dol.gov/agencies/ilab/resources/reports/child-labor/malawi" TargetMode="External"/><Relationship Id="rId6" Type="http://schemas.openxmlformats.org/officeDocument/2006/relationships/hyperlink" Target="https://www.odi.org/sites/odi.org.uk/files/odi-assets/publications-opinion-files/10289.pdf" TargetMode="External"/><Relationship Id="rId7" Type="http://schemas.openxmlformats.org/officeDocument/2006/relationships/hyperlink" Target="http://www.genderindex.org/country/malawi" TargetMode="External"/><Relationship Id="rId8" Type="http://schemas.openxmlformats.org/officeDocument/2006/relationships/hyperlink" Target="https://dhsprogram.com/pubs/pdf/PR73/PR73.pdf" TargetMode="External"/><Relationship Id="rId1" Type="http://schemas.openxmlformats.org/officeDocument/2006/relationships/hyperlink" Target="https://dhsprogram.com/pubs/pdf/FR247/FR247.pdf" TargetMode="External"/><Relationship Id="rId2" Type="http://schemas.openxmlformats.org/officeDocument/2006/relationships/hyperlink" Target="http://siteresources.worldbank.org/INTLSMS/Resources/3358986-1233781970982/5800988-1271185595871/IHS3_Repor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1117</Words>
  <Characters>6369</Characters>
  <Application>Microsoft Word 12.0.0</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ingridb</dc:creator>
  <cp:keywords/>
  <cp:lastModifiedBy>laura quay</cp:lastModifiedBy>
  <cp:revision>1</cp:revision>
  <cp:lastPrinted>2013-09-26T03:11:00Z</cp:lastPrinted>
  <dcterms:created xsi:type="dcterms:W3CDTF">2017-03-02T04:28:00Z</dcterms:created>
  <dcterms:modified xsi:type="dcterms:W3CDTF">2017-03-03T03:12:00Z</dcterms:modified>
</cp:coreProperties>
</file>