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7092" w:rsidRPr="005003A1" w:rsidRDefault="00267092" w:rsidP="00267092">
      <w:pPr>
        <w:pStyle w:val="ListParagraph"/>
        <w:numPr>
          <w:ilvl w:val="0"/>
          <w:numId w:val="4"/>
        </w:numPr>
        <w:ind w:left="4536" w:hanging="708"/>
        <w:jc w:val="both"/>
        <w:rPr>
          <w:rFonts w:cs="Arial"/>
          <w:b/>
          <w:color w:val="FFFFFF" w:themeColor="background1"/>
          <w:sz w:val="18"/>
          <w:szCs w:val="18"/>
          <w:lang w:val="en-AU"/>
        </w:rPr>
      </w:pPr>
      <w:r w:rsidRPr="005003A1">
        <w:rPr>
          <w:rFonts w:cs="Arial"/>
          <w:b/>
          <w:color w:val="FFFFFF" w:themeColor="background1"/>
          <w:sz w:val="18"/>
          <w:szCs w:val="18"/>
          <w:lang w:val="en-AU"/>
        </w:rPr>
        <w:t xml:space="preserve">Population </w:t>
      </w:r>
      <w:r w:rsidR="00AD6472" w:rsidRPr="005003A1">
        <w:rPr>
          <w:rFonts w:cs="Arial"/>
          <w:b/>
          <w:color w:val="FFFFFF" w:themeColor="background1"/>
          <w:sz w:val="18"/>
          <w:szCs w:val="18"/>
          <w:lang w:val="en-AU"/>
        </w:rPr>
        <w:t xml:space="preserve">Sex </w:t>
      </w:r>
      <w:r w:rsidRPr="005003A1">
        <w:rPr>
          <w:rFonts w:cs="Arial"/>
          <w:b/>
          <w:color w:val="FFFFFF" w:themeColor="background1"/>
          <w:sz w:val="18"/>
          <w:szCs w:val="18"/>
          <w:lang w:val="en-AU"/>
        </w:rPr>
        <w:t xml:space="preserve">Disaggregation: </w:t>
      </w:r>
      <w:r w:rsidR="007F54D0" w:rsidRPr="005003A1">
        <w:rPr>
          <w:rFonts w:cs="Arial"/>
          <w:b/>
          <w:color w:val="FFFFFF" w:themeColor="background1"/>
          <w:sz w:val="18"/>
          <w:szCs w:val="18"/>
          <w:lang w:val="en-AU"/>
        </w:rPr>
        <w:t>50.2% male; 49.8</w:t>
      </w:r>
      <w:r w:rsidRPr="005003A1">
        <w:rPr>
          <w:rFonts w:cs="Arial"/>
          <w:b/>
          <w:color w:val="FFFFFF" w:themeColor="background1"/>
          <w:sz w:val="18"/>
          <w:szCs w:val="18"/>
          <w:lang w:val="en-AU"/>
        </w:rPr>
        <w:t>% female</w:t>
      </w:r>
      <w:r w:rsidR="00C80AFA" w:rsidRPr="005003A1">
        <w:rPr>
          <w:rStyle w:val="EndnoteReference"/>
          <w:rFonts w:cs="Arial"/>
          <w:b/>
          <w:color w:val="FFFFFF" w:themeColor="background1"/>
          <w:sz w:val="18"/>
          <w:szCs w:val="18"/>
          <w:lang w:val="en-AU"/>
        </w:rPr>
        <w:endnoteReference w:id="2"/>
      </w:r>
    </w:p>
    <w:p w:rsidR="00267092" w:rsidRPr="005003A1" w:rsidRDefault="00267092" w:rsidP="00267092">
      <w:pPr>
        <w:pStyle w:val="ListParagraph"/>
        <w:numPr>
          <w:ilvl w:val="0"/>
          <w:numId w:val="4"/>
        </w:numPr>
        <w:ind w:left="4536" w:hanging="708"/>
        <w:jc w:val="both"/>
        <w:rPr>
          <w:rFonts w:cs="Arial"/>
          <w:b/>
          <w:color w:val="FFFFFF" w:themeColor="background1"/>
          <w:sz w:val="18"/>
          <w:szCs w:val="18"/>
          <w:lang w:val="en-AU"/>
        </w:rPr>
      </w:pPr>
      <w:r w:rsidRPr="005003A1">
        <w:rPr>
          <w:rFonts w:cs="Arial"/>
          <w:b/>
          <w:color w:val="FFFFFF" w:themeColor="background1"/>
          <w:sz w:val="18"/>
          <w:szCs w:val="18"/>
          <w:lang w:val="en-AU"/>
        </w:rPr>
        <w:t xml:space="preserve">Population Age Disaggregation: </w:t>
      </w:r>
      <w:r w:rsidR="007F54D0" w:rsidRPr="005003A1">
        <w:rPr>
          <w:rFonts w:cs="Arial"/>
          <w:b/>
          <w:color w:val="FFFFFF" w:themeColor="background1"/>
          <w:sz w:val="18"/>
          <w:szCs w:val="18"/>
          <w:lang w:val="en-AU"/>
        </w:rPr>
        <w:t>0-14yrs 41%; 15-64yrs 56%;  &gt;65yrs  3</w:t>
      </w:r>
      <w:r w:rsidRPr="005003A1">
        <w:rPr>
          <w:rFonts w:cs="Arial"/>
          <w:b/>
          <w:color w:val="FFFFFF" w:themeColor="background1"/>
          <w:sz w:val="18"/>
          <w:szCs w:val="18"/>
          <w:lang w:val="en-AU"/>
        </w:rPr>
        <w:t>%</w:t>
      </w:r>
      <w:r w:rsidR="00C80AFA" w:rsidRPr="005003A1">
        <w:rPr>
          <w:rStyle w:val="EndnoteReference"/>
          <w:rFonts w:cs="Arial"/>
          <w:b/>
          <w:color w:val="FFFFFF" w:themeColor="background1"/>
          <w:sz w:val="18"/>
          <w:szCs w:val="18"/>
          <w:lang w:val="en-AU"/>
        </w:rPr>
        <w:endnoteReference w:id="3"/>
      </w:r>
    </w:p>
    <w:p w:rsidR="00267092" w:rsidRPr="005003A1" w:rsidRDefault="00267092" w:rsidP="00267092">
      <w:pPr>
        <w:pStyle w:val="ListParagraph"/>
        <w:numPr>
          <w:ilvl w:val="0"/>
          <w:numId w:val="4"/>
        </w:numPr>
        <w:ind w:left="4536" w:hanging="708"/>
        <w:jc w:val="both"/>
        <w:rPr>
          <w:rFonts w:cs="Arial"/>
          <w:b/>
          <w:color w:val="FFFFFF" w:themeColor="background1"/>
          <w:sz w:val="18"/>
          <w:szCs w:val="18"/>
          <w:lang w:val="en-AU"/>
        </w:rPr>
      </w:pPr>
      <w:r w:rsidRPr="005003A1">
        <w:rPr>
          <w:rFonts w:cs="Arial"/>
          <w:b/>
          <w:color w:val="FFFFFF" w:themeColor="background1"/>
          <w:sz w:val="18"/>
          <w:szCs w:val="18"/>
          <w:lang w:val="en-AU"/>
        </w:rPr>
        <w:t xml:space="preserve">Average household </w:t>
      </w:r>
      <w:r w:rsidR="00D42D2E" w:rsidRPr="005003A1">
        <w:rPr>
          <w:rFonts w:cs="Arial"/>
          <w:b/>
          <w:color w:val="FFFFFF" w:themeColor="background1"/>
          <w:sz w:val="18"/>
          <w:szCs w:val="18"/>
          <w:lang w:val="en-AU"/>
        </w:rPr>
        <w:t>si</w:t>
      </w:r>
      <w:r w:rsidR="00EB4898" w:rsidRPr="005003A1">
        <w:rPr>
          <w:rFonts w:cs="Arial"/>
          <w:b/>
          <w:color w:val="FFFFFF" w:themeColor="background1"/>
          <w:sz w:val="18"/>
          <w:szCs w:val="18"/>
          <w:lang w:val="en-AU"/>
        </w:rPr>
        <w:t>z</w:t>
      </w:r>
      <w:r w:rsidR="00D42D2E" w:rsidRPr="005003A1">
        <w:rPr>
          <w:rFonts w:cs="Arial"/>
          <w:b/>
          <w:color w:val="FFFFFF" w:themeColor="background1"/>
          <w:sz w:val="18"/>
          <w:szCs w:val="18"/>
          <w:lang w:val="en-AU"/>
        </w:rPr>
        <w:t xml:space="preserve">e: </w:t>
      </w:r>
      <w:r w:rsidR="00AB1593" w:rsidRPr="005003A1">
        <w:rPr>
          <w:rFonts w:cs="Arial"/>
          <w:b/>
          <w:color w:val="FFFFFF" w:themeColor="background1"/>
          <w:sz w:val="18"/>
          <w:szCs w:val="18"/>
          <w:lang w:val="en-AU"/>
        </w:rPr>
        <w:t>5.9</w:t>
      </w:r>
      <w:r w:rsidR="00C80AFA" w:rsidRPr="005003A1">
        <w:rPr>
          <w:rStyle w:val="EndnoteReference"/>
          <w:rFonts w:cs="Arial"/>
          <w:b/>
          <w:color w:val="FFFFFF" w:themeColor="background1"/>
          <w:sz w:val="18"/>
          <w:szCs w:val="18"/>
          <w:lang w:val="en-AU"/>
        </w:rPr>
        <w:endnoteReference w:id="4"/>
      </w:r>
      <w:r w:rsidRPr="005003A1">
        <w:rPr>
          <w:rFonts w:cs="Arial"/>
          <w:b/>
          <w:color w:val="FFFFFF" w:themeColor="background1"/>
          <w:sz w:val="18"/>
          <w:szCs w:val="18"/>
          <w:lang w:val="en-AU"/>
        </w:rPr>
        <w:t xml:space="preserve"> </w:t>
      </w:r>
    </w:p>
    <w:p w:rsidR="00267092" w:rsidRPr="005003A1" w:rsidRDefault="00AB1593" w:rsidP="00267092">
      <w:pPr>
        <w:pStyle w:val="ListParagraph"/>
        <w:numPr>
          <w:ilvl w:val="0"/>
          <w:numId w:val="4"/>
        </w:numPr>
        <w:ind w:left="4536" w:hanging="708"/>
        <w:jc w:val="both"/>
        <w:rPr>
          <w:rFonts w:cs="Arial"/>
          <w:b/>
          <w:color w:val="FFFFFF" w:themeColor="background1"/>
          <w:sz w:val="18"/>
          <w:szCs w:val="18"/>
          <w:lang w:val="en-AU"/>
        </w:rPr>
      </w:pPr>
      <w:r w:rsidRPr="005003A1">
        <w:rPr>
          <w:rFonts w:cs="Arial"/>
          <w:b/>
          <w:color w:val="FFFFFF" w:themeColor="background1"/>
          <w:sz w:val="18"/>
          <w:szCs w:val="18"/>
          <w:lang w:val="en-AU"/>
        </w:rPr>
        <w:t>Female headed households: 14.2</w:t>
      </w:r>
      <w:r w:rsidR="00267092" w:rsidRPr="005003A1">
        <w:rPr>
          <w:rFonts w:cs="Arial"/>
          <w:b/>
          <w:color w:val="FFFFFF" w:themeColor="background1"/>
          <w:sz w:val="18"/>
          <w:szCs w:val="18"/>
          <w:lang w:val="en-AU"/>
        </w:rPr>
        <w:t>%</w:t>
      </w:r>
      <w:r w:rsidR="00C80AFA" w:rsidRPr="005003A1">
        <w:rPr>
          <w:rStyle w:val="EndnoteReference"/>
          <w:rFonts w:cs="Arial"/>
          <w:b/>
          <w:color w:val="FFFFFF" w:themeColor="background1"/>
          <w:sz w:val="18"/>
          <w:szCs w:val="18"/>
          <w:lang w:val="en-AU"/>
        </w:rPr>
        <w:endnoteReference w:id="5"/>
      </w:r>
    </w:p>
    <w:p w:rsidR="00C80AFA" w:rsidRPr="005003A1" w:rsidRDefault="007F54D0" w:rsidP="00267092">
      <w:pPr>
        <w:pStyle w:val="ListParagraph"/>
        <w:numPr>
          <w:ilvl w:val="0"/>
          <w:numId w:val="4"/>
        </w:numPr>
        <w:ind w:left="4536" w:hanging="708"/>
        <w:jc w:val="both"/>
        <w:rPr>
          <w:rFonts w:cs="Arial"/>
          <w:b/>
          <w:color w:val="FFFFFF" w:themeColor="background1"/>
          <w:sz w:val="18"/>
          <w:szCs w:val="18"/>
          <w:lang w:val="en-AU"/>
        </w:rPr>
      </w:pPr>
      <w:r w:rsidRPr="005003A1">
        <w:rPr>
          <w:rFonts w:cs="Arial"/>
          <w:b/>
          <w:color w:val="FFFFFF" w:themeColor="background1"/>
          <w:sz w:val="18"/>
          <w:szCs w:val="18"/>
          <w:lang w:val="en-AU"/>
        </w:rPr>
        <w:t xml:space="preserve">Youth </w:t>
      </w:r>
      <w:r w:rsidR="00C80AFA" w:rsidRPr="005003A1">
        <w:rPr>
          <w:rFonts w:cs="Arial"/>
          <w:b/>
          <w:color w:val="FFFFFF" w:themeColor="background1"/>
          <w:sz w:val="18"/>
          <w:szCs w:val="18"/>
          <w:lang w:val="en-AU"/>
        </w:rPr>
        <w:t>Lit</w:t>
      </w:r>
      <w:r w:rsidRPr="005003A1">
        <w:rPr>
          <w:rFonts w:cs="Arial"/>
          <w:b/>
          <w:color w:val="FFFFFF" w:themeColor="background1"/>
          <w:sz w:val="18"/>
          <w:szCs w:val="18"/>
          <w:lang w:val="en-AU"/>
        </w:rPr>
        <w:t>eracy Rates 15-24 yrs: male 71</w:t>
      </w:r>
      <w:r w:rsidR="00C80AFA" w:rsidRPr="005003A1">
        <w:rPr>
          <w:rFonts w:cs="Arial"/>
          <w:b/>
          <w:color w:val="FFFFFF" w:themeColor="background1"/>
          <w:sz w:val="18"/>
          <w:szCs w:val="18"/>
          <w:lang w:val="en-AU"/>
        </w:rPr>
        <w:t>%;</w:t>
      </w:r>
      <w:r w:rsidRPr="005003A1">
        <w:rPr>
          <w:rStyle w:val="EndnoteReference"/>
          <w:rFonts w:cs="Arial"/>
          <w:b/>
          <w:color w:val="FFFFFF" w:themeColor="background1"/>
          <w:sz w:val="18"/>
          <w:szCs w:val="18"/>
          <w:lang w:val="en-AU"/>
        </w:rPr>
        <w:endnoteReference w:id="6"/>
      </w:r>
      <w:r w:rsidR="004633D1" w:rsidRPr="005003A1">
        <w:rPr>
          <w:rFonts w:cs="Arial"/>
          <w:b/>
          <w:color w:val="FFFFFF" w:themeColor="background1"/>
          <w:sz w:val="18"/>
          <w:szCs w:val="18"/>
          <w:lang w:val="en-AU"/>
        </w:rPr>
        <w:t xml:space="preserve"> female 59.8</w:t>
      </w:r>
      <w:r w:rsidR="00C80AFA" w:rsidRPr="005003A1">
        <w:rPr>
          <w:rFonts w:cs="Arial"/>
          <w:b/>
          <w:color w:val="FFFFFF" w:themeColor="background1"/>
          <w:sz w:val="18"/>
          <w:szCs w:val="18"/>
          <w:lang w:val="en-AU"/>
        </w:rPr>
        <w:t>%</w:t>
      </w:r>
      <w:r w:rsidR="00C80AFA" w:rsidRPr="005003A1">
        <w:rPr>
          <w:rStyle w:val="EndnoteReference"/>
          <w:rFonts w:cs="Arial"/>
          <w:b/>
          <w:color w:val="FFFFFF" w:themeColor="background1"/>
          <w:sz w:val="18"/>
          <w:szCs w:val="18"/>
          <w:lang w:val="en-AU"/>
        </w:rPr>
        <w:endnoteReference w:id="7"/>
      </w:r>
      <w:r w:rsidR="00C80AFA" w:rsidRPr="005003A1">
        <w:rPr>
          <w:rFonts w:cs="Arial"/>
          <w:b/>
          <w:color w:val="FFFFFF" w:themeColor="background1"/>
          <w:sz w:val="18"/>
          <w:szCs w:val="18"/>
          <w:lang w:val="en-AU"/>
        </w:rPr>
        <w:t xml:space="preserve"> </w:t>
      </w:r>
    </w:p>
    <w:p w:rsidR="00267092" w:rsidRPr="005003A1" w:rsidRDefault="00267092" w:rsidP="00267092">
      <w:pPr>
        <w:pStyle w:val="ListParagraph"/>
        <w:numPr>
          <w:ilvl w:val="0"/>
          <w:numId w:val="4"/>
        </w:numPr>
        <w:ind w:left="4536" w:hanging="708"/>
        <w:jc w:val="both"/>
        <w:rPr>
          <w:rFonts w:cs="Arial"/>
          <w:b/>
          <w:color w:val="FFFFFF" w:themeColor="background1"/>
          <w:sz w:val="18"/>
          <w:szCs w:val="18"/>
          <w:lang w:val="en-AU"/>
        </w:rPr>
      </w:pPr>
      <w:r w:rsidRPr="005003A1">
        <w:rPr>
          <w:rFonts w:cs="Arial"/>
          <w:b/>
          <w:color w:val="FFFFFF" w:themeColor="background1"/>
          <w:sz w:val="18"/>
          <w:szCs w:val="18"/>
          <w:lang w:val="en-AU"/>
        </w:rPr>
        <w:t>Infant Mortality rates:</w:t>
      </w:r>
      <w:r w:rsidR="004633D1" w:rsidRPr="005003A1">
        <w:rPr>
          <w:rFonts w:cs="Arial"/>
          <w:b/>
          <w:color w:val="FFFFFF" w:themeColor="background1"/>
          <w:sz w:val="18"/>
          <w:szCs w:val="18"/>
          <w:lang w:val="en-AU"/>
        </w:rPr>
        <w:t xml:space="preserve"> 52</w:t>
      </w:r>
      <w:r w:rsidRPr="005003A1">
        <w:rPr>
          <w:rFonts w:cs="Arial"/>
          <w:b/>
          <w:color w:val="FFFFFF" w:themeColor="background1"/>
          <w:sz w:val="18"/>
          <w:szCs w:val="18"/>
          <w:lang w:val="en-AU"/>
        </w:rPr>
        <w:t xml:space="preserve"> per 1000 live births</w:t>
      </w:r>
      <w:r w:rsidRPr="005003A1">
        <w:rPr>
          <w:color w:val="FFFFFF" w:themeColor="background1"/>
          <w:sz w:val="18"/>
          <w:szCs w:val="18"/>
        </w:rPr>
        <w:t xml:space="preserve"> </w:t>
      </w:r>
      <w:r w:rsidR="00C80AFA" w:rsidRPr="005003A1">
        <w:rPr>
          <w:rStyle w:val="EndnoteReference"/>
          <w:color w:val="FFFFFF" w:themeColor="background1"/>
          <w:sz w:val="18"/>
          <w:szCs w:val="18"/>
        </w:rPr>
        <w:endnoteReference w:id="8"/>
      </w:r>
    </w:p>
    <w:p w:rsidR="0053252E" w:rsidRPr="005003A1" w:rsidRDefault="007F54D0" w:rsidP="0053252E">
      <w:pPr>
        <w:pStyle w:val="ListParagraph"/>
        <w:numPr>
          <w:ilvl w:val="0"/>
          <w:numId w:val="4"/>
        </w:numPr>
        <w:ind w:left="4536" w:hanging="708"/>
        <w:jc w:val="both"/>
        <w:rPr>
          <w:rFonts w:cs="Arial"/>
          <w:b/>
          <w:color w:val="FFFFFF" w:themeColor="background1"/>
          <w:sz w:val="18"/>
          <w:szCs w:val="18"/>
          <w:lang w:val="en-AU"/>
        </w:rPr>
      </w:pPr>
      <w:r w:rsidRPr="005003A1">
        <w:rPr>
          <w:rFonts w:cs="Arial"/>
          <w:b/>
          <w:color w:val="FFFFFF" w:themeColor="background1"/>
          <w:sz w:val="18"/>
          <w:szCs w:val="18"/>
          <w:lang w:val="en-AU"/>
        </w:rPr>
        <w:t>Maternal Mortality rate: 311</w:t>
      </w:r>
      <w:r w:rsidR="002971A7" w:rsidRPr="005003A1">
        <w:rPr>
          <w:rFonts w:cs="Arial"/>
          <w:b/>
          <w:color w:val="FFFFFF" w:themeColor="background1"/>
          <w:sz w:val="18"/>
          <w:szCs w:val="18"/>
          <w:lang w:val="en-AU"/>
        </w:rPr>
        <w:t xml:space="preserve"> per 100</w:t>
      </w:r>
      <w:r w:rsidRPr="005003A1">
        <w:rPr>
          <w:rFonts w:cs="Arial"/>
          <w:b/>
          <w:color w:val="FFFFFF" w:themeColor="background1"/>
          <w:sz w:val="18"/>
          <w:szCs w:val="18"/>
          <w:lang w:val="en-AU"/>
        </w:rPr>
        <w:t>,00</w:t>
      </w:r>
      <w:r w:rsidR="002971A7" w:rsidRPr="005003A1">
        <w:rPr>
          <w:rFonts w:cs="Arial"/>
          <w:b/>
          <w:color w:val="FFFFFF" w:themeColor="background1"/>
          <w:sz w:val="18"/>
          <w:szCs w:val="18"/>
          <w:lang w:val="en-AU"/>
        </w:rPr>
        <w:t xml:space="preserve">0 live births </w:t>
      </w:r>
      <w:r w:rsidR="002971A7" w:rsidRPr="005003A1">
        <w:rPr>
          <w:rStyle w:val="EndnoteReference"/>
          <w:rFonts w:cs="Arial"/>
          <w:b/>
          <w:color w:val="FFFFFF" w:themeColor="background1"/>
          <w:sz w:val="18"/>
          <w:szCs w:val="18"/>
          <w:lang w:val="en-AU"/>
        </w:rPr>
        <w:endnoteReference w:id="9"/>
      </w:r>
    </w:p>
    <w:p w:rsidR="0053252E" w:rsidRPr="005003A1" w:rsidRDefault="000C1431" w:rsidP="0053252E">
      <w:pPr>
        <w:pStyle w:val="ListParagraph"/>
        <w:numPr>
          <w:ilvl w:val="0"/>
          <w:numId w:val="4"/>
        </w:numPr>
        <w:ind w:left="4536" w:hanging="708"/>
        <w:jc w:val="both"/>
        <w:rPr>
          <w:rFonts w:cs="Arial"/>
          <w:b/>
          <w:color w:val="FFFFFF" w:themeColor="background1"/>
          <w:sz w:val="18"/>
          <w:szCs w:val="18"/>
          <w:lang w:val="en-AU"/>
        </w:rPr>
      </w:pPr>
      <w:r>
        <w:rPr>
          <w:rFonts w:cs="Arial"/>
          <w:b/>
          <w:color w:val="FFFFFF" w:themeColor="background1"/>
          <w:sz w:val="18"/>
          <w:szCs w:val="18"/>
          <w:lang w:val="en-AU"/>
        </w:rPr>
        <w:t xml:space="preserve">Domestic Violence: </w:t>
      </w:r>
      <w:r w:rsidR="0053252E" w:rsidRPr="005003A1">
        <w:rPr>
          <w:rFonts w:cs="Arial"/>
          <w:b/>
          <w:color w:val="FFFFFF" w:themeColor="background1"/>
          <w:sz w:val="18"/>
          <w:szCs w:val="18"/>
          <w:lang w:val="en-AU"/>
        </w:rPr>
        <w:t xml:space="preserve">34% of women 15-49 </w:t>
      </w:r>
      <w:r>
        <w:rPr>
          <w:rFonts w:cs="Arial"/>
          <w:b/>
          <w:color w:val="FFFFFF" w:themeColor="background1"/>
          <w:sz w:val="18"/>
          <w:szCs w:val="18"/>
          <w:lang w:val="en-AU"/>
        </w:rPr>
        <w:t xml:space="preserve">think that a husband/partner can be </w:t>
      </w:r>
      <w:r w:rsidR="0053252E" w:rsidRPr="005003A1">
        <w:rPr>
          <w:rFonts w:cs="Arial"/>
          <w:b/>
          <w:color w:val="FFFFFF" w:themeColor="background1"/>
          <w:sz w:val="18"/>
          <w:szCs w:val="18"/>
          <w:lang w:val="en-AU"/>
        </w:rPr>
        <w:t>justified in hitting/beating his wife</w:t>
      </w:r>
      <w:r w:rsidR="0053252E" w:rsidRPr="005003A1">
        <w:rPr>
          <w:rStyle w:val="EndnoteReference"/>
          <w:rFonts w:cs="Arial"/>
          <w:b/>
          <w:color w:val="FFFFFF" w:themeColor="background1"/>
          <w:sz w:val="18"/>
          <w:szCs w:val="18"/>
          <w:lang w:val="en-AU"/>
        </w:rPr>
        <w:endnoteReference w:id="10"/>
      </w:r>
    </w:p>
    <w:p w:rsidR="000C1431" w:rsidRDefault="000C1431" w:rsidP="00E92CC8">
      <w:pPr>
        <w:pStyle w:val="Heading1"/>
      </w:pPr>
    </w:p>
    <w:p w:rsidR="005D1616" w:rsidRPr="00E92CC8" w:rsidRDefault="00267092" w:rsidP="00E92CC8">
      <w:pPr>
        <w:pStyle w:val="Heading1"/>
      </w:pPr>
      <w:r>
        <w:t>Gender in Brief</w:t>
      </w:r>
    </w:p>
    <w:p w:rsidR="00AB1593" w:rsidRDefault="009F5321" w:rsidP="009535BF">
      <w:pPr>
        <w:jc w:val="both"/>
        <w:rPr>
          <w:rFonts w:cs="Arial"/>
          <w:szCs w:val="20"/>
          <w:lang w:val="en-AU"/>
        </w:rPr>
      </w:pPr>
      <w:r>
        <w:rPr>
          <w:rFonts w:cs="Arial"/>
          <w:szCs w:val="20"/>
          <w:lang w:val="en-AU"/>
        </w:rPr>
        <w:t xml:space="preserve">Sudan has </w:t>
      </w:r>
      <w:r w:rsidR="00D936CD">
        <w:rPr>
          <w:rFonts w:cs="Arial"/>
          <w:szCs w:val="20"/>
          <w:lang w:val="en-AU"/>
        </w:rPr>
        <w:t>a long</w:t>
      </w:r>
      <w:r w:rsidR="00D94813">
        <w:rPr>
          <w:rFonts w:cs="Arial"/>
          <w:szCs w:val="20"/>
          <w:lang w:val="en-AU"/>
        </w:rPr>
        <w:t xml:space="preserve"> history </w:t>
      </w:r>
      <w:r w:rsidR="00D936CD">
        <w:rPr>
          <w:rFonts w:cs="Arial"/>
          <w:szCs w:val="20"/>
          <w:lang w:val="en-AU"/>
        </w:rPr>
        <w:t>of protracted</w:t>
      </w:r>
      <w:r w:rsidR="00D94813">
        <w:rPr>
          <w:rFonts w:cs="Arial"/>
          <w:szCs w:val="20"/>
          <w:lang w:val="en-AU"/>
        </w:rPr>
        <w:t xml:space="preserve"> ethnic an</w:t>
      </w:r>
      <w:r w:rsidR="00D936CD">
        <w:rPr>
          <w:rFonts w:cs="Arial"/>
          <w:szCs w:val="20"/>
          <w:lang w:val="en-AU"/>
        </w:rPr>
        <w:t>d rebel militia civil conflict. In January 2011,</w:t>
      </w:r>
      <w:r w:rsidR="0007289F">
        <w:rPr>
          <w:rFonts w:cs="Arial"/>
          <w:szCs w:val="20"/>
          <w:lang w:val="en-AU"/>
        </w:rPr>
        <w:t xml:space="preserve"> South Sudan seceded from Sudan</w:t>
      </w:r>
      <w:r w:rsidR="0053252E">
        <w:rPr>
          <w:rFonts w:cs="Arial"/>
          <w:szCs w:val="20"/>
          <w:lang w:val="en-AU"/>
        </w:rPr>
        <w:t>,</w:t>
      </w:r>
      <w:r w:rsidR="0007289F">
        <w:rPr>
          <w:rFonts w:cs="Arial"/>
          <w:szCs w:val="20"/>
          <w:lang w:val="en-AU"/>
        </w:rPr>
        <w:t xml:space="preserve"> however r</w:t>
      </w:r>
      <w:r w:rsidR="00D936CD">
        <w:rPr>
          <w:rFonts w:cs="Arial"/>
          <w:szCs w:val="20"/>
          <w:lang w:val="en-AU"/>
        </w:rPr>
        <w:t>ebel/government conflict continues in Darfur, and in the Southern Kordofan’s Nuba Mountains and Blue Nile state. Within a highly</w:t>
      </w:r>
      <w:r w:rsidR="0007289F">
        <w:rPr>
          <w:rFonts w:cs="Arial"/>
          <w:szCs w:val="20"/>
          <w:lang w:val="en-AU"/>
        </w:rPr>
        <w:t xml:space="preserve"> restrictive</w:t>
      </w:r>
      <w:r w:rsidR="00697D28">
        <w:rPr>
          <w:rFonts w:cs="Arial"/>
          <w:szCs w:val="20"/>
          <w:lang w:val="en-AU"/>
        </w:rPr>
        <w:t xml:space="preserve"> and</w:t>
      </w:r>
      <w:r w:rsidR="00D936CD">
        <w:rPr>
          <w:rFonts w:cs="Arial"/>
          <w:szCs w:val="20"/>
          <w:lang w:val="en-AU"/>
        </w:rPr>
        <w:t xml:space="preserve"> unequal society, w</w:t>
      </w:r>
      <w:r w:rsidR="006A5E9D">
        <w:rPr>
          <w:rFonts w:cs="Arial"/>
          <w:szCs w:val="20"/>
          <w:lang w:val="en-AU"/>
        </w:rPr>
        <w:t xml:space="preserve">omen </w:t>
      </w:r>
      <w:r w:rsidR="00D936CD">
        <w:rPr>
          <w:rFonts w:cs="Arial"/>
          <w:szCs w:val="20"/>
          <w:lang w:val="en-AU"/>
        </w:rPr>
        <w:t xml:space="preserve">and girls in Sudan </w:t>
      </w:r>
      <w:r w:rsidR="0007289F">
        <w:rPr>
          <w:rFonts w:cs="Arial"/>
          <w:szCs w:val="20"/>
          <w:lang w:val="en-AU"/>
        </w:rPr>
        <w:t xml:space="preserve">are </w:t>
      </w:r>
      <w:r w:rsidR="00226489">
        <w:rPr>
          <w:rFonts w:cs="Arial"/>
          <w:szCs w:val="20"/>
          <w:lang w:val="en-AU"/>
        </w:rPr>
        <w:t xml:space="preserve">disproportionately </w:t>
      </w:r>
      <w:r w:rsidR="0007289F">
        <w:rPr>
          <w:rFonts w:cs="Arial"/>
          <w:szCs w:val="20"/>
          <w:lang w:val="en-AU"/>
        </w:rPr>
        <w:t>affected by</w:t>
      </w:r>
      <w:r w:rsidR="006A5E9D">
        <w:rPr>
          <w:rFonts w:cs="Arial"/>
          <w:szCs w:val="20"/>
          <w:lang w:val="en-AU"/>
        </w:rPr>
        <w:t xml:space="preserve"> </w:t>
      </w:r>
      <w:r w:rsidR="00D936CD">
        <w:rPr>
          <w:rFonts w:cs="Arial"/>
          <w:szCs w:val="20"/>
          <w:lang w:val="en-AU"/>
        </w:rPr>
        <w:t xml:space="preserve">the </w:t>
      </w:r>
      <w:r w:rsidR="0053252E">
        <w:rPr>
          <w:rFonts w:cs="Arial"/>
          <w:szCs w:val="20"/>
          <w:lang w:val="en-AU"/>
        </w:rPr>
        <w:t xml:space="preserve">ongoing </w:t>
      </w:r>
      <w:r w:rsidR="006A5E9D">
        <w:rPr>
          <w:rFonts w:cs="Arial"/>
          <w:szCs w:val="20"/>
          <w:lang w:val="en-AU"/>
        </w:rPr>
        <w:t>conflict</w:t>
      </w:r>
      <w:r w:rsidR="00D936CD">
        <w:rPr>
          <w:rFonts w:cs="Arial"/>
          <w:szCs w:val="20"/>
          <w:lang w:val="en-AU"/>
        </w:rPr>
        <w:t>,</w:t>
      </w:r>
      <w:r w:rsidR="00697D28">
        <w:rPr>
          <w:rFonts w:cs="Arial"/>
          <w:szCs w:val="20"/>
          <w:lang w:val="en-AU"/>
        </w:rPr>
        <w:t xml:space="preserve"> with effects</w:t>
      </w:r>
      <w:r w:rsidR="00D936CD">
        <w:rPr>
          <w:rFonts w:cs="Arial"/>
          <w:szCs w:val="20"/>
          <w:lang w:val="en-AU"/>
        </w:rPr>
        <w:t xml:space="preserve"> ranging from </w:t>
      </w:r>
      <w:r w:rsidR="0007289F">
        <w:rPr>
          <w:rFonts w:cs="Arial"/>
          <w:szCs w:val="20"/>
          <w:lang w:val="en-AU"/>
        </w:rPr>
        <w:t xml:space="preserve">displacement and </w:t>
      </w:r>
      <w:r w:rsidR="006A5E9D">
        <w:rPr>
          <w:rFonts w:cs="Arial"/>
          <w:szCs w:val="20"/>
          <w:lang w:val="en-AU"/>
        </w:rPr>
        <w:t xml:space="preserve">poverty, </w:t>
      </w:r>
      <w:r w:rsidR="00D936CD">
        <w:rPr>
          <w:rFonts w:cs="Arial"/>
          <w:szCs w:val="20"/>
          <w:lang w:val="en-AU"/>
        </w:rPr>
        <w:t>to direct</w:t>
      </w:r>
      <w:r w:rsidR="006A5E9D">
        <w:rPr>
          <w:rFonts w:cs="Arial"/>
          <w:szCs w:val="20"/>
          <w:lang w:val="en-AU"/>
        </w:rPr>
        <w:t xml:space="preserve"> violence from both state and non-state actors; with </w:t>
      </w:r>
      <w:r w:rsidR="0007289F">
        <w:rPr>
          <w:rFonts w:cs="Arial"/>
          <w:szCs w:val="20"/>
          <w:lang w:val="en-AU"/>
        </w:rPr>
        <w:t xml:space="preserve">indirect </w:t>
      </w:r>
      <w:r w:rsidR="006A5E9D">
        <w:rPr>
          <w:rFonts w:cs="Arial"/>
          <w:szCs w:val="20"/>
          <w:lang w:val="en-AU"/>
        </w:rPr>
        <w:t>impact</w:t>
      </w:r>
      <w:r w:rsidR="00D936CD">
        <w:rPr>
          <w:rFonts w:cs="Arial"/>
          <w:szCs w:val="20"/>
          <w:lang w:val="en-AU"/>
        </w:rPr>
        <w:t>s on their rights and access in</w:t>
      </w:r>
      <w:r w:rsidR="006A5E9D">
        <w:rPr>
          <w:rFonts w:cs="Arial"/>
          <w:szCs w:val="20"/>
          <w:lang w:val="en-AU"/>
        </w:rPr>
        <w:t xml:space="preserve"> a variety of </w:t>
      </w:r>
      <w:r w:rsidR="00697D28">
        <w:rPr>
          <w:rFonts w:cs="Arial"/>
          <w:szCs w:val="20"/>
          <w:lang w:val="en-AU"/>
        </w:rPr>
        <w:t>other</w:t>
      </w:r>
      <w:r w:rsidR="006A5E9D">
        <w:rPr>
          <w:rFonts w:cs="Arial"/>
          <w:szCs w:val="20"/>
          <w:lang w:val="en-AU"/>
        </w:rPr>
        <w:t xml:space="preserve"> </w:t>
      </w:r>
      <w:r w:rsidR="00D936CD">
        <w:rPr>
          <w:rFonts w:cs="Arial"/>
          <w:szCs w:val="20"/>
          <w:lang w:val="en-AU"/>
        </w:rPr>
        <w:t>domains</w:t>
      </w:r>
      <w:r w:rsidR="006A5E9D">
        <w:rPr>
          <w:rFonts w:cs="Arial"/>
          <w:szCs w:val="20"/>
          <w:lang w:val="en-AU"/>
        </w:rPr>
        <w:t>, such as education</w:t>
      </w:r>
      <w:r w:rsidR="00697D28">
        <w:rPr>
          <w:rFonts w:cs="Arial"/>
          <w:szCs w:val="20"/>
          <w:lang w:val="en-AU"/>
        </w:rPr>
        <w:t xml:space="preserve"> and health</w:t>
      </w:r>
      <w:r w:rsidR="006A5E9D">
        <w:rPr>
          <w:rFonts w:cs="Arial"/>
          <w:szCs w:val="20"/>
          <w:lang w:val="en-AU"/>
        </w:rPr>
        <w:t xml:space="preserve">. </w:t>
      </w:r>
      <w:r w:rsidR="008C0AA7">
        <w:rPr>
          <w:rFonts w:cs="Arial"/>
          <w:szCs w:val="20"/>
          <w:lang w:val="en-AU"/>
        </w:rPr>
        <w:t>Sudan hosts a diverse wealth of natural resources, but crisis has undermined e</w:t>
      </w:r>
      <w:r w:rsidR="00697D28">
        <w:rPr>
          <w:rFonts w:cs="Arial"/>
          <w:szCs w:val="20"/>
          <w:lang w:val="en-AU"/>
        </w:rPr>
        <w:t>conomic</w:t>
      </w:r>
      <w:r w:rsidR="00146BE8">
        <w:rPr>
          <w:rFonts w:cs="Arial"/>
          <w:szCs w:val="20"/>
          <w:lang w:val="en-AU"/>
        </w:rPr>
        <w:t xml:space="preserve"> </w:t>
      </w:r>
      <w:r w:rsidR="008C0AA7">
        <w:rPr>
          <w:rFonts w:cs="Arial"/>
          <w:szCs w:val="20"/>
          <w:lang w:val="en-AU"/>
        </w:rPr>
        <w:t>growth, and in 2016 was considered the third largest emergency situation worldwide according to the number of internally displaced persons.</w:t>
      </w:r>
      <w:r w:rsidR="008C0AA7">
        <w:rPr>
          <w:rStyle w:val="EndnoteReference"/>
          <w:rFonts w:cs="Arial"/>
          <w:szCs w:val="20"/>
          <w:lang w:val="en-AU"/>
        </w:rPr>
        <w:endnoteReference w:id="11"/>
      </w:r>
      <w:r w:rsidR="00146BE8">
        <w:rPr>
          <w:rFonts w:cs="Arial"/>
          <w:szCs w:val="20"/>
          <w:lang w:val="en-AU"/>
        </w:rPr>
        <w:t xml:space="preserve"> Urbanization is limited, with 70.2% of households located in rural areas</w:t>
      </w:r>
      <w:r w:rsidR="008C0AA7">
        <w:rPr>
          <w:rFonts w:cs="Arial"/>
          <w:szCs w:val="20"/>
          <w:lang w:val="en-AU"/>
        </w:rPr>
        <w:t>,</w:t>
      </w:r>
      <w:r w:rsidR="00146BE8">
        <w:rPr>
          <w:rStyle w:val="EndnoteReference"/>
          <w:rFonts w:cs="Arial"/>
          <w:szCs w:val="20"/>
          <w:lang w:val="en-AU"/>
        </w:rPr>
        <w:endnoteReference w:id="12"/>
      </w:r>
      <w:r w:rsidR="008C0AA7">
        <w:rPr>
          <w:rFonts w:cs="Arial"/>
          <w:szCs w:val="20"/>
          <w:lang w:val="en-AU"/>
        </w:rPr>
        <w:t xml:space="preserve"> and the population is skewed, with 62% of the population less than 25, and a high fertility rate (2.5% per year)</w:t>
      </w:r>
      <w:r w:rsidR="0007289F">
        <w:rPr>
          <w:rFonts w:cs="Arial"/>
          <w:szCs w:val="20"/>
          <w:lang w:val="en-AU"/>
        </w:rPr>
        <w:t>. R</w:t>
      </w:r>
      <w:r w:rsidR="008C0AA7">
        <w:rPr>
          <w:rFonts w:cs="Arial"/>
          <w:szCs w:val="20"/>
          <w:lang w:val="en-AU"/>
        </w:rPr>
        <w:t>ural women and girls make up over 60% of the country’s most vulnerable poor.</w:t>
      </w:r>
      <w:r w:rsidR="008C0AA7">
        <w:rPr>
          <w:rStyle w:val="EndnoteReference"/>
          <w:rFonts w:cs="Arial"/>
          <w:szCs w:val="20"/>
          <w:lang w:val="en-AU"/>
        </w:rPr>
        <w:endnoteReference w:id="13"/>
      </w:r>
      <w:r w:rsidR="008C0AA7">
        <w:rPr>
          <w:rFonts w:cs="Arial"/>
          <w:szCs w:val="20"/>
          <w:lang w:val="en-AU"/>
        </w:rPr>
        <w:t xml:space="preserve"> </w:t>
      </w:r>
      <w:r w:rsidR="00146BE8">
        <w:rPr>
          <w:rFonts w:cs="Arial"/>
          <w:szCs w:val="20"/>
          <w:lang w:val="en-AU"/>
        </w:rPr>
        <w:t xml:space="preserve"> </w:t>
      </w:r>
      <w:r w:rsidR="008556BD">
        <w:rPr>
          <w:rFonts w:cs="Arial"/>
          <w:szCs w:val="20"/>
          <w:lang w:val="en-AU"/>
        </w:rPr>
        <w:t>This</w:t>
      </w:r>
      <w:r w:rsidR="00501B53">
        <w:rPr>
          <w:rFonts w:cs="Arial"/>
          <w:szCs w:val="20"/>
          <w:lang w:val="en-AU"/>
        </w:rPr>
        <w:t xml:space="preserve"> Gender in Brief is challenged by the lack of recent data for Sudan, with </w:t>
      </w:r>
      <w:r w:rsidR="008556BD">
        <w:rPr>
          <w:rFonts w:cs="Arial"/>
          <w:szCs w:val="20"/>
          <w:lang w:val="en-AU"/>
        </w:rPr>
        <w:t>the last census held in 2008,</w:t>
      </w:r>
      <w:r w:rsidR="00501B53">
        <w:rPr>
          <w:rFonts w:cs="Arial"/>
          <w:szCs w:val="20"/>
          <w:lang w:val="en-AU"/>
        </w:rPr>
        <w:t xml:space="preserve"> and therefore </w:t>
      </w:r>
      <w:r w:rsidR="008556BD">
        <w:rPr>
          <w:rFonts w:cs="Arial"/>
          <w:szCs w:val="20"/>
          <w:lang w:val="en-AU"/>
        </w:rPr>
        <w:t>before the secession</w:t>
      </w:r>
      <w:r w:rsidR="00B14F0D">
        <w:rPr>
          <w:rFonts w:cs="Arial"/>
          <w:szCs w:val="20"/>
          <w:lang w:val="en-AU"/>
        </w:rPr>
        <w:t xml:space="preserve"> of South Sudan. </w:t>
      </w:r>
      <w:r w:rsidR="00822524">
        <w:rPr>
          <w:rFonts w:cs="Arial"/>
          <w:szCs w:val="20"/>
          <w:lang w:val="en-AU"/>
        </w:rPr>
        <w:t xml:space="preserve">Much of the data is therefore based on modelling. </w:t>
      </w:r>
    </w:p>
    <w:p w:rsidR="00501B53" w:rsidRPr="00501B53" w:rsidRDefault="00501B53" w:rsidP="009535BF">
      <w:pPr>
        <w:jc w:val="both"/>
        <w:rPr>
          <w:rFonts w:cs="Arial"/>
          <w:szCs w:val="20"/>
          <w:lang w:val="en-AU"/>
        </w:rPr>
      </w:pPr>
    </w:p>
    <w:p w:rsidR="0007289F" w:rsidRPr="0053252E" w:rsidRDefault="00E92CC8" w:rsidP="0053252E">
      <w:pPr>
        <w:jc w:val="both"/>
        <w:rPr>
          <w:rFonts w:cs="Arial"/>
          <w:szCs w:val="20"/>
          <w:lang w:val="en-AU"/>
        </w:rPr>
      </w:pPr>
      <w:r w:rsidRPr="00E92CC8">
        <w:rPr>
          <w:rFonts w:cs="Arial"/>
          <w:b/>
          <w:bCs/>
          <w:color w:val="E36C0A" w:themeColor="accent6" w:themeShade="BF"/>
          <w:szCs w:val="20"/>
        </w:rPr>
        <w:t>Gender roles and responsibilities:</w:t>
      </w:r>
      <w:r w:rsidRPr="00E92CC8">
        <w:rPr>
          <w:rFonts w:cs="Arial"/>
          <w:color w:val="E36C0A" w:themeColor="accent6" w:themeShade="BF"/>
          <w:szCs w:val="20"/>
          <w:lang w:val="en-AU"/>
        </w:rPr>
        <w:t xml:space="preserve"> </w:t>
      </w:r>
      <w:r w:rsidR="0053252E">
        <w:rPr>
          <w:rFonts w:cs="Arial"/>
          <w:szCs w:val="20"/>
          <w:lang w:val="en-AU"/>
        </w:rPr>
        <w:t>Women’s lives in Sudan are highly restricted, governed by a patriarchal set of g</w:t>
      </w:r>
      <w:r w:rsidR="006A5E9D">
        <w:rPr>
          <w:rFonts w:cs="Arial"/>
          <w:szCs w:val="20"/>
          <w:lang w:val="en-AU"/>
        </w:rPr>
        <w:t xml:space="preserve">ender roles </w:t>
      </w:r>
      <w:r w:rsidR="0053252E">
        <w:rPr>
          <w:rFonts w:cs="Arial"/>
          <w:szCs w:val="20"/>
          <w:lang w:val="en-AU"/>
        </w:rPr>
        <w:t xml:space="preserve">that </w:t>
      </w:r>
      <w:r w:rsidR="006A5E9D">
        <w:rPr>
          <w:rFonts w:cs="Arial"/>
          <w:szCs w:val="20"/>
          <w:lang w:val="en-AU"/>
        </w:rPr>
        <w:t xml:space="preserve">are </w:t>
      </w:r>
      <w:r w:rsidR="00D767DF">
        <w:rPr>
          <w:rFonts w:cs="Arial"/>
          <w:szCs w:val="20"/>
          <w:lang w:val="en-AU"/>
        </w:rPr>
        <w:t>inhibitive and strictly</w:t>
      </w:r>
      <w:r w:rsidR="006A5E9D">
        <w:rPr>
          <w:rFonts w:cs="Arial"/>
          <w:szCs w:val="20"/>
          <w:lang w:val="en-AU"/>
        </w:rPr>
        <w:t xml:space="preserve"> </w:t>
      </w:r>
      <w:r w:rsidR="0053252E">
        <w:rPr>
          <w:rFonts w:cs="Arial"/>
          <w:szCs w:val="20"/>
          <w:lang w:val="en-AU"/>
        </w:rPr>
        <w:t>enforced. This is</w:t>
      </w:r>
      <w:r w:rsidR="00D767DF">
        <w:rPr>
          <w:rFonts w:cs="Arial"/>
          <w:szCs w:val="20"/>
          <w:lang w:val="en-AU"/>
        </w:rPr>
        <w:t xml:space="preserve"> guided by a traditional, restrictive interpretation of Shari’a law. </w:t>
      </w:r>
      <w:r w:rsidR="00697D28">
        <w:rPr>
          <w:rFonts w:cs="Arial"/>
          <w:szCs w:val="20"/>
          <w:lang w:val="en-AU"/>
        </w:rPr>
        <w:t xml:space="preserve">Law protects </w:t>
      </w:r>
      <w:r w:rsidR="0007289F">
        <w:rPr>
          <w:rFonts w:cs="Arial"/>
          <w:szCs w:val="20"/>
          <w:lang w:val="en-AU"/>
        </w:rPr>
        <w:t xml:space="preserve">and enforces </w:t>
      </w:r>
      <w:r w:rsidR="00697D28">
        <w:rPr>
          <w:rFonts w:cs="Arial"/>
          <w:szCs w:val="20"/>
          <w:lang w:val="en-AU"/>
        </w:rPr>
        <w:t>men’s role as the breadwinner, and the requirement for women to obey their husbands</w:t>
      </w:r>
      <w:r w:rsidR="006A5E9D">
        <w:rPr>
          <w:rFonts w:cs="Arial"/>
          <w:szCs w:val="20"/>
          <w:lang w:val="en-AU"/>
        </w:rPr>
        <w:t>.</w:t>
      </w:r>
      <w:r w:rsidR="006A5E9D">
        <w:rPr>
          <w:rStyle w:val="EndnoteReference"/>
          <w:rFonts w:cs="Arial"/>
          <w:szCs w:val="20"/>
          <w:lang w:val="en-AU"/>
        </w:rPr>
        <w:endnoteReference w:id="14"/>
      </w:r>
      <w:r w:rsidR="006A5E9D">
        <w:rPr>
          <w:rFonts w:cs="Arial"/>
          <w:szCs w:val="20"/>
          <w:lang w:val="en-AU"/>
        </w:rPr>
        <w:t xml:space="preserve"> </w:t>
      </w:r>
      <w:r w:rsidR="004F168B">
        <w:rPr>
          <w:rFonts w:cs="Arial"/>
          <w:szCs w:val="20"/>
          <w:lang w:val="en-AU"/>
        </w:rPr>
        <w:t xml:space="preserve">Under Islamic law, women have inheritance rights, but </w:t>
      </w:r>
      <w:r w:rsidR="00697D28">
        <w:rPr>
          <w:rFonts w:cs="Arial"/>
          <w:szCs w:val="20"/>
          <w:lang w:val="en-AU"/>
        </w:rPr>
        <w:t xml:space="preserve">only </w:t>
      </w:r>
      <w:r w:rsidR="004F168B">
        <w:rPr>
          <w:rFonts w:cs="Arial"/>
          <w:szCs w:val="20"/>
          <w:lang w:val="en-AU"/>
        </w:rPr>
        <w:t xml:space="preserve">half of that to which men are entitled. </w:t>
      </w:r>
      <w:r w:rsidR="00D767DF">
        <w:rPr>
          <w:rFonts w:cs="Arial"/>
          <w:szCs w:val="20"/>
          <w:lang w:val="en-AU"/>
        </w:rPr>
        <w:t>Contradictorily, c</w:t>
      </w:r>
      <w:r w:rsidR="006A5E9D">
        <w:rPr>
          <w:rFonts w:cs="Arial"/>
          <w:szCs w:val="20"/>
          <w:lang w:val="en-AU"/>
        </w:rPr>
        <w:t>ustomary law dictates that women do not have any rights to inheritance</w:t>
      </w:r>
      <w:r w:rsidR="00D767DF">
        <w:rPr>
          <w:rFonts w:cs="Arial"/>
          <w:szCs w:val="20"/>
          <w:lang w:val="en-AU"/>
        </w:rPr>
        <w:t xml:space="preserve">. It </w:t>
      </w:r>
      <w:r w:rsidR="00697D28">
        <w:rPr>
          <w:rFonts w:cs="Arial"/>
          <w:szCs w:val="20"/>
          <w:lang w:val="en-AU"/>
        </w:rPr>
        <w:t>also prescribes</w:t>
      </w:r>
      <w:r w:rsidR="004F168B">
        <w:rPr>
          <w:rFonts w:cs="Arial"/>
          <w:szCs w:val="20"/>
          <w:lang w:val="en-AU"/>
        </w:rPr>
        <w:t xml:space="preserve"> that in the event of becoming a widow, women are commonly required to marry another man in the husband’s family. </w:t>
      </w:r>
      <w:r w:rsidR="006A5E9D">
        <w:rPr>
          <w:rFonts w:cs="Arial"/>
          <w:szCs w:val="20"/>
          <w:lang w:val="en-AU"/>
        </w:rPr>
        <w:t xml:space="preserve">Forced early child marriage is reportedly a significant problem, </w:t>
      </w:r>
      <w:r w:rsidR="00697D28">
        <w:rPr>
          <w:rFonts w:cs="Arial"/>
          <w:szCs w:val="20"/>
          <w:lang w:val="en-AU"/>
        </w:rPr>
        <w:t xml:space="preserve">however there is no </w:t>
      </w:r>
      <w:r w:rsidR="006A5E9D">
        <w:rPr>
          <w:rFonts w:cs="Arial"/>
          <w:szCs w:val="20"/>
          <w:lang w:val="en-AU"/>
        </w:rPr>
        <w:t xml:space="preserve">data to support the prevalence. </w:t>
      </w:r>
      <w:r w:rsidR="0027359C">
        <w:rPr>
          <w:rFonts w:cs="Arial"/>
        </w:rPr>
        <w:t>The inequality is highly evident in bodily integrity - w</w:t>
      </w:r>
      <w:r w:rsidR="0053252E">
        <w:rPr>
          <w:rFonts w:cs="Arial"/>
        </w:rPr>
        <w:t>omen’s movement is governed</w:t>
      </w:r>
      <w:r w:rsidR="0027359C">
        <w:rPr>
          <w:rFonts w:cs="Arial"/>
        </w:rPr>
        <w:t xml:space="preserve"> and controlled by male relatives. M</w:t>
      </w:r>
      <w:r w:rsidR="0053252E">
        <w:rPr>
          <w:rFonts w:cs="Arial"/>
        </w:rPr>
        <w:t xml:space="preserve">arried women cannot travel without the permission of their husbands, and are often denied the right to leave unaccompanied. </w:t>
      </w:r>
      <w:r w:rsidR="006264E4">
        <w:rPr>
          <w:rFonts w:cs="Arial"/>
        </w:rPr>
        <w:t>Only 12% of women 15-49 who are currently married are using any contraceptive method.</w:t>
      </w:r>
      <w:r w:rsidR="006264E4">
        <w:rPr>
          <w:rStyle w:val="EndnoteReference"/>
          <w:rFonts w:cs="Arial"/>
        </w:rPr>
        <w:endnoteReference w:id="15"/>
      </w:r>
    </w:p>
    <w:p w:rsidR="002F290E" w:rsidRPr="0053252E" w:rsidRDefault="002F290E" w:rsidP="0053252E">
      <w:pPr>
        <w:rPr>
          <w:rFonts w:cs="Arial"/>
          <w:i/>
          <w:szCs w:val="20"/>
          <w:lang w:val="en-AU"/>
        </w:rPr>
      </w:pPr>
    </w:p>
    <w:p w:rsidR="0027359C" w:rsidRPr="0027359C" w:rsidRDefault="00E92CC8" w:rsidP="0027359C">
      <w:pPr>
        <w:jc w:val="both"/>
        <w:rPr>
          <w:rFonts w:cs="Arial"/>
          <w:szCs w:val="20"/>
          <w:lang w:val="en-AU"/>
        </w:rPr>
      </w:pPr>
      <w:r w:rsidRPr="00375DC8">
        <w:rPr>
          <w:rFonts w:cs="Arial"/>
          <w:b/>
          <w:color w:val="E36C0A" w:themeColor="accent6" w:themeShade="BF"/>
          <w:szCs w:val="20"/>
        </w:rPr>
        <w:t>Education and Economic Empowerment:</w:t>
      </w:r>
      <w:r w:rsidR="006A5E9D">
        <w:rPr>
          <w:rFonts w:cs="Arial"/>
          <w:i/>
          <w:szCs w:val="20"/>
          <w:lang w:val="en-AU"/>
        </w:rPr>
        <w:t xml:space="preserve"> </w:t>
      </w:r>
      <w:r w:rsidR="0053252E">
        <w:rPr>
          <w:rFonts w:cs="Arial"/>
          <w:szCs w:val="20"/>
          <w:lang w:val="en-AU"/>
        </w:rPr>
        <w:t>Less than a third of women in Sudan have had access to any form of education.</w:t>
      </w:r>
      <w:r w:rsidR="0053252E">
        <w:rPr>
          <w:rStyle w:val="EndnoteReference"/>
          <w:rFonts w:cs="Arial"/>
          <w:szCs w:val="20"/>
          <w:lang w:val="en-AU"/>
        </w:rPr>
        <w:endnoteReference w:id="16"/>
      </w:r>
      <w:r w:rsidR="0053252E">
        <w:rPr>
          <w:rFonts w:cs="Arial"/>
          <w:szCs w:val="20"/>
          <w:lang w:val="en-AU"/>
        </w:rPr>
        <w:t xml:space="preserve"> </w:t>
      </w:r>
      <w:r w:rsidR="002904D6">
        <w:rPr>
          <w:rFonts w:cs="Arial"/>
          <w:szCs w:val="20"/>
          <w:lang w:val="en-AU"/>
        </w:rPr>
        <w:t>Of children who are of primary school entry age, 36.1% of boys, and 37.5% of girls, are attending.</w:t>
      </w:r>
      <w:r w:rsidR="002904D6">
        <w:rPr>
          <w:rStyle w:val="EndnoteReference"/>
          <w:rFonts w:cs="Arial"/>
          <w:szCs w:val="20"/>
          <w:lang w:val="en-AU"/>
        </w:rPr>
        <w:endnoteReference w:id="17"/>
      </w:r>
      <w:r w:rsidR="002904D6">
        <w:rPr>
          <w:rFonts w:cs="Arial"/>
          <w:szCs w:val="20"/>
          <w:lang w:val="en-AU"/>
        </w:rPr>
        <w:t xml:space="preserve"> In secondary school </w:t>
      </w:r>
      <w:r w:rsidR="00AA1E6D">
        <w:rPr>
          <w:rFonts w:cs="Arial"/>
          <w:szCs w:val="20"/>
          <w:lang w:val="en-AU"/>
        </w:rPr>
        <w:t>attendance</w:t>
      </w:r>
      <w:r w:rsidR="002904D6">
        <w:rPr>
          <w:rFonts w:cs="Arial"/>
          <w:szCs w:val="20"/>
          <w:lang w:val="en-AU"/>
        </w:rPr>
        <w:t xml:space="preserve"> ratios, </w:t>
      </w:r>
      <w:r w:rsidR="00AA1E6D">
        <w:rPr>
          <w:rFonts w:cs="Arial"/>
          <w:szCs w:val="20"/>
          <w:lang w:val="en-AU"/>
        </w:rPr>
        <w:t>significant</w:t>
      </w:r>
      <w:r w:rsidR="002904D6">
        <w:rPr>
          <w:rFonts w:cs="Arial"/>
          <w:szCs w:val="20"/>
          <w:lang w:val="en-AU"/>
        </w:rPr>
        <w:t xml:space="preserve"> </w:t>
      </w:r>
      <w:r w:rsidR="004C13A7">
        <w:rPr>
          <w:rFonts w:cs="Arial"/>
          <w:szCs w:val="20"/>
          <w:lang w:val="en-AU"/>
        </w:rPr>
        <w:t>differences exist</w:t>
      </w:r>
      <w:r w:rsidR="002904D6">
        <w:rPr>
          <w:rFonts w:cs="Arial"/>
          <w:szCs w:val="20"/>
          <w:lang w:val="en-AU"/>
        </w:rPr>
        <w:t xml:space="preserve"> amongst States for both boys and girls.  </w:t>
      </w:r>
      <w:r w:rsidR="00C31D1C" w:rsidRPr="0027359C">
        <w:rPr>
          <w:rFonts w:eastAsia="Times New Roman" w:cs="Arial"/>
          <w:szCs w:val="20"/>
          <w:lang w:val="en-AU"/>
        </w:rPr>
        <w:t xml:space="preserve">The highly restricted mobility of women has particular impact on their capacity to join the workforce. </w:t>
      </w:r>
      <w:r w:rsidR="008C0AA7" w:rsidRPr="0027359C">
        <w:rPr>
          <w:rFonts w:eastAsia="Times New Roman" w:cs="Arial"/>
          <w:szCs w:val="20"/>
          <w:lang w:val="en-AU"/>
        </w:rPr>
        <w:t>Women’s labour force participation is at 31%, compared to 76% for men,</w:t>
      </w:r>
      <w:r w:rsidR="008C0AA7" w:rsidRPr="0027359C">
        <w:rPr>
          <w:rStyle w:val="EndnoteReference"/>
          <w:rFonts w:eastAsia="Times New Roman" w:cs="Arial"/>
          <w:szCs w:val="20"/>
          <w:lang w:val="en-AU"/>
        </w:rPr>
        <w:endnoteReference w:id="18"/>
      </w:r>
      <w:r w:rsidR="008C0AA7" w:rsidRPr="0027359C">
        <w:rPr>
          <w:rFonts w:eastAsia="Times New Roman" w:cs="Arial"/>
          <w:szCs w:val="20"/>
          <w:lang w:val="en-AU"/>
        </w:rPr>
        <w:t xml:space="preserve"> </w:t>
      </w:r>
      <w:r w:rsidR="0027359C">
        <w:rPr>
          <w:rFonts w:eastAsia="Times New Roman" w:cs="Arial"/>
          <w:szCs w:val="20"/>
          <w:lang w:val="en-AU"/>
        </w:rPr>
        <w:t>and Sudanese youth (15-24) face high levels of</w:t>
      </w:r>
      <w:r w:rsidR="008C0AA7" w:rsidRPr="0027359C">
        <w:rPr>
          <w:rFonts w:eastAsia="Times New Roman" w:cs="Arial"/>
          <w:szCs w:val="20"/>
          <w:lang w:val="en-AU"/>
        </w:rPr>
        <w:t xml:space="preserve"> </w:t>
      </w:r>
      <w:r w:rsidR="00054C58" w:rsidRPr="0027359C">
        <w:rPr>
          <w:rFonts w:eastAsia="Times New Roman" w:cs="Arial"/>
          <w:szCs w:val="20"/>
          <w:lang w:val="en-AU"/>
        </w:rPr>
        <w:t>unemployment</w:t>
      </w:r>
      <w:r w:rsidR="008C0AA7" w:rsidRPr="0027359C">
        <w:rPr>
          <w:rFonts w:eastAsia="Times New Roman" w:cs="Arial"/>
          <w:szCs w:val="20"/>
          <w:lang w:val="en-AU"/>
        </w:rPr>
        <w:t xml:space="preserve"> </w:t>
      </w:r>
      <w:r w:rsidR="00054C58" w:rsidRPr="0027359C">
        <w:rPr>
          <w:rFonts w:eastAsia="Times New Roman" w:cs="Arial"/>
          <w:szCs w:val="20"/>
          <w:lang w:val="en-AU"/>
        </w:rPr>
        <w:t>(over 20%).</w:t>
      </w:r>
      <w:r w:rsidR="00054C58" w:rsidRPr="0027359C">
        <w:rPr>
          <w:rStyle w:val="EndnoteReference"/>
          <w:rFonts w:eastAsia="Times New Roman" w:cs="Arial"/>
          <w:szCs w:val="20"/>
          <w:lang w:val="en-AU"/>
        </w:rPr>
        <w:endnoteReference w:id="19"/>
      </w:r>
      <w:r w:rsidR="0027359C">
        <w:rPr>
          <w:rFonts w:eastAsia="Times New Roman" w:cs="Arial"/>
          <w:szCs w:val="20"/>
          <w:lang w:val="en-AU"/>
        </w:rPr>
        <w:t xml:space="preserve"> </w:t>
      </w:r>
      <w:r w:rsidR="00054C58" w:rsidRPr="0027359C">
        <w:rPr>
          <w:rFonts w:cs="Arial"/>
          <w:szCs w:val="20"/>
          <w:lang w:val="en-AU"/>
        </w:rPr>
        <w:t>Women have little access to credit (23%), and yet 79% report having to</w:t>
      </w:r>
      <w:r w:rsidR="0027359C">
        <w:rPr>
          <w:rFonts w:cs="Arial"/>
          <w:szCs w:val="20"/>
          <w:lang w:val="en-AU"/>
        </w:rPr>
        <w:t xml:space="preserve"> borrow money to be able to feed their families.</w:t>
      </w:r>
      <w:r w:rsidR="00054C58" w:rsidRPr="0027359C">
        <w:rPr>
          <w:rStyle w:val="EndnoteReference"/>
          <w:rFonts w:cs="Arial"/>
          <w:szCs w:val="20"/>
          <w:lang w:val="en-AU"/>
        </w:rPr>
        <w:endnoteReference w:id="20"/>
      </w:r>
      <w:r w:rsidR="0027359C">
        <w:rPr>
          <w:rFonts w:cs="Arial"/>
          <w:szCs w:val="20"/>
          <w:lang w:val="en-AU"/>
        </w:rPr>
        <w:t xml:space="preserve"> </w:t>
      </w:r>
      <w:r w:rsidR="0027359C" w:rsidRPr="0027359C">
        <w:rPr>
          <w:rFonts w:eastAsia="Times New Roman" w:cs="Arial"/>
          <w:szCs w:val="20"/>
          <w:lang w:val="en-AU"/>
        </w:rPr>
        <w:t>The burden of unpaid work is large, with 96% of women reporting to spend over 40 hours per week, and 46% spending over 80 hours on unpaid activities.</w:t>
      </w:r>
      <w:r w:rsidR="0027359C" w:rsidRPr="0027359C">
        <w:rPr>
          <w:rStyle w:val="EndnoteReference"/>
          <w:rFonts w:eastAsia="Times New Roman" w:cs="Arial"/>
          <w:szCs w:val="20"/>
          <w:lang w:val="en-AU"/>
        </w:rPr>
        <w:endnoteReference w:id="21"/>
      </w:r>
      <w:r w:rsidR="0027359C" w:rsidRPr="0027359C">
        <w:rPr>
          <w:rFonts w:eastAsia="Times New Roman" w:cs="Arial"/>
          <w:szCs w:val="20"/>
          <w:lang w:val="en-AU"/>
        </w:rPr>
        <w:t xml:space="preserve"> </w:t>
      </w:r>
    </w:p>
    <w:p w:rsidR="00054C58" w:rsidRPr="004633D1" w:rsidRDefault="00054C58" w:rsidP="009535BF">
      <w:pPr>
        <w:jc w:val="both"/>
        <w:rPr>
          <w:rFonts w:cs="Arial"/>
          <w:szCs w:val="20"/>
          <w:lang w:val="en-AU"/>
        </w:rPr>
      </w:pPr>
    </w:p>
    <w:p w:rsidR="0027359C" w:rsidRDefault="00E92CC8" w:rsidP="00AB1593">
      <w:pPr>
        <w:jc w:val="both"/>
        <w:rPr>
          <w:rFonts w:cs="Arial"/>
        </w:rPr>
      </w:pPr>
      <w:r w:rsidRPr="00E92CC8">
        <w:rPr>
          <w:rStyle w:val="apple-converted-space"/>
          <w:rFonts w:cs="Arial"/>
          <w:b/>
          <w:color w:val="E36C0A" w:themeColor="accent6" w:themeShade="BF"/>
          <w:szCs w:val="20"/>
          <w:shd w:val="clear" w:color="auto" w:fill="FFFFFF"/>
        </w:rPr>
        <w:t xml:space="preserve">Participation and Policy: </w:t>
      </w:r>
      <w:r w:rsidR="00536E13">
        <w:rPr>
          <w:rFonts w:cs="Arial"/>
        </w:rPr>
        <w:t>Amidst the wider context of gender inequality that permeates Sudanese society, laws institutionalize</w:t>
      </w:r>
      <w:r w:rsidR="00892617">
        <w:rPr>
          <w:rFonts w:cs="Arial"/>
        </w:rPr>
        <w:t xml:space="preserve"> discrimination against women in various ways</w:t>
      </w:r>
      <w:r w:rsidR="00536E13">
        <w:rPr>
          <w:rFonts w:cs="Arial"/>
        </w:rPr>
        <w:t xml:space="preserve">. Sudan is one </w:t>
      </w:r>
      <w:r w:rsidR="00C31D1C">
        <w:rPr>
          <w:rFonts w:cs="Arial"/>
        </w:rPr>
        <w:t>o</w:t>
      </w:r>
      <w:r w:rsidR="00536E13">
        <w:rPr>
          <w:rFonts w:cs="Arial"/>
        </w:rPr>
        <w:t>f the few states that have</w:t>
      </w:r>
      <w:r w:rsidR="00C31D1C">
        <w:rPr>
          <w:rFonts w:cs="Arial"/>
        </w:rPr>
        <w:t xml:space="preserve"> not ratified</w:t>
      </w:r>
      <w:r w:rsidR="00B119D4">
        <w:rPr>
          <w:rFonts w:cs="Arial"/>
        </w:rPr>
        <w:t xml:space="preserve"> CEDAW. </w:t>
      </w:r>
      <w:r w:rsidR="00054C58">
        <w:rPr>
          <w:rFonts w:cs="Arial"/>
        </w:rPr>
        <w:t>Governance in the country is non-inclusive,</w:t>
      </w:r>
      <w:r w:rsidR="0027359C">
        <w:rPr>
          <w:rFonts w:cs="Arial"/>
        </w:rPr>
        <w:t xml:space="preserve"> and women have largely been excluded from peace and conflict resolution processes. </w:t>
      </w:r>
      <w:r w:rsidR="00B119D4">
        <w:rPr>
          <w:rFonts w:cs="Arial"/>
        </w:rPr>
        <w:t>W</w:t>
      </w:r>
      <w:r w:rsidR="00B33007">
        <w:rPr>
          <w:rFonts w:cs="Arial"/>
        </w:rPr>
        <w:t xml:space="preserve">hilst </w:t>
      </w:r>
      <w:r w:rsidR="00B119D4">
        <w:rPr>
          <w:rFonts w:cs="Arial"/>
        </w:rPr>
        <w:t xml:space="preserve">women and men’s equal civil, political, social, cultural, and economic rights are </w:t>
      </w:r>
      <w:r w:rsidR="00C31D1C">
        <w:rPr>
          <w:rFonts w:cs="Arial"/>
        </w:rPr>
        <w:t xml:space="preserve">officially </w:t>
      </w:r>
      <w:r w:rsidR="00B119D4">
        <w:rPr>
          <w:rFonts w:cs="Arial"/>
        </w:rPr>
        <w:t xml:space="preserve">protected in Sudan’s Interim Constitution of 2005, following the secession of South Sudan in 2011, </w:t>
      </w:r>
      <w:r w:rsidR="0027359C">
        <w:rPr>
          <w:rFonts w:cs="Arial"/>
        </w:rPr>
        <w:t xml:space="preserve">the </w:t>
      </w:r>
      <w:r w:rsidR="00B119D4">
        <w:rPr>
          <w:rFonts w:cs="Arial"/>
        </w:rPr>
        <w:t xml:space="preserve">Sudanese President announced that a new constitution, based on Sharia law, would be introduced, raising fears that the limited rights of women would face further restrictions. </w:t>
      </w:r>
    </w:p>
    <w:p w:rsidR="0027359C" w:rsidRDefault="0027359C" w:rsidP="00AB1593">
      <w:pPr>
        <w:jc w:val="both"/>
        <w:rPr>
          <w:rFonts w:cs="Arial"/>
        </w:rPr>
      </w:pPr>
    </w:p>
    <w:p w:rsidR="00DB689A" w:rsidRPr="00536E13" w:rsidRDefault="00C31D1C" w:rsidP="00AB1593">
      <w:pPr>
        <w:jc w:val="both"/>
        <w:rPr>
          <w:rFonts w:cs="Arial"/>
        </w:rPr>
      </w:pPr>
      <w:r>
        <w:rPr>
          <w:rFonts w:cs="Arial"/>
        </w:rPr>
        <w:t xml:space="preserve">In reality, cultural custom dictates the freedoms, and rights of women. </w:t>
      </w:r>
      <w:r w:rsidR="00892617">
        <w:rPr>
          <w:rFonts w:cs="Arial"/>
        </w:rPr>
        <w:t>Sudan’s legal environment reflects their interpretation of Shari’ah law. For example the so-called “public order regime” outlines vague proscriptions that criminalize acts that are “contrary to public morals”</w:t>
      </w:r>
      <w:r w:rsidR="0027359C">
        <w:rPr>
          <w:rFonts w:cs="Arial"/>
        </w:rPr>
        <w:t>,</w:t>
      </w:r>
      <w:r w:rsidR="00892617">
        <w:rPr>
          <w:rStyle w:val="EndnoteReference"/>
          <w:rFonts w:cs="Arial"/>
        </w:rPr>
        <w:endnoteReference w:id="22"/>
      </w:r>
      <w:r w:rsidR="00892617">
        <w:rPr>
          <w:rFonts w:cs="Arial"/>
        </w:rPr>
        <w:t xml:space="preserve"> with heavy flogging penalties, often brought against more marginalized communities. </w:t>
      </w:r>
      <w:r w:rsidR="00536E13">
        <w:rPr>
          <w:rFonts w:cs="Arial"/>
        </w:rPr>
        <w:t xml:space="preserve">Public morality crimes are highly discriminatory against women, limiting both their movement and their freedoms, including their dress. Violent corporal punishments, and entrenched impunity for human rights abuses against women remain. </w:t>
      </w:r>
      <w:r w:rsidR="0027359C">
        <w:rPr>
          <w:rFonts w:cs="Arial"/>
        </w:rPr>
        <w:t>There is a d</w:t>
      </w:r>
      <w:r w:rsidR="0007289F">
        <w:rPr>
          <w:rFonts w:cs="Arial"/>
        </w:rPr>
        <w:t>istinct lack of accountability and protection mechanisms, with women in particular facing immense obstacles to accessing justice.</w:t>
      </w:r>
    </w:p>
    <w:p w:rsidR="00DB689A" w:rsidRPr="0032556F" w:rsidRDefault="00DB689A" w:rsidP="00DB689A">
      <w:pPr>
        <w:jc w:val="both"/>
        <w:rPr>
          <w:rFonts w:cs="Arial"/>
          <w:b/>
          <w:i/>
          <w:szCs w:val="20"/>
          <w:lang w:val="en-AU"/>
        </w:rPr>
      </w:pPr>
    </w:p>
    <w:p w:rsidR="006264E4" w:rsidRDefault="00E92CC8" w:rsidP="00AB1593">
      <w:pPr>
        <w:jc w:val="both"/>
        <w:rPr>
          <w:rFonts w:cs="Arial"/>
        </w:rPr>
      </w:pPr>
      <w:r w:rsidRPr="00E92CC8">
        <w:rPr>
          <w:rFonts w:cs="Arial"/>
          <w:b/>
          <w:color w:val="E36C0A" w:themeColor="accent6" w:themeShade="BF"/>
          <w:szCs w:val="20"/>
        </w:rPr>
        <w:t xml:space="preserve">Gender Based Violence and Protection: </w:t>
      </w:r>
      <w:r w:rsidR="006264E4">
        <w:rPr>
          <w:rFonts w:cs="Arial"/>
          <w:szCs w:val="20"/>
          <w:lang w:val="en-AU"/>
        </w:rPr>
        <w:t>Gender i</w:t>
      </w:r>
      <w:r w:rsidR="0007289F">
        <w:rPr>
          <w:rFonts w:cs="Arial"/>
          <w:szCs w:val="20"/>
          <w:lang w:val="en-AU"/>
        </w:rPr>
        <w:t>nequalities in society are evident with very severe consequences for women and girls. Harm</w:t>
      </w:r>
      <w:r w:rsidR="006264E4">
        <w:rPr>
          <w:rFonts w:cs="Arial"/>
          <w:szCs w:val="20"/>
          <w:lang w:val="en-AU"/>
        </w:rPr>
        <w:t>ful cultural practices such as female genital mutilation/cutting (F</w:t>
      </w:r>
      <w:r w:rsidR="0007289F">
        <w:rPr>
          <w:rFonts w:cs="Arial"/>
          <w:szCs w:val="20"/>
          <w:lang w:val="en-AU"/>
        </w:rPr>
        <w:t>GM/C</w:t>
      </w:r>
      <w:r w:rsidR="006264E4">
        <w:rPr>
          <w:rFonts w:cs="Arial"/>
          <w:szCs w:val="20"/>
          <w:lang w:val="en-AU"/>
        </w:rPr>
        <w:t>)</w:t>
      </w:r>
      <w:r w:rsidR="0007289F">
        <w:rPr>
          <w:rFonts w:cs="Arial"/>
          <w:szCs w:val="20"/>
          <w:lang w:val="en-AU"/>
        </w:rPr>
        <w:t xml:space="preserve">, early marriage, physical domestic violence and other manifestations of </w:t>
      </w:r>
      <w:r w:rsidR="006264E4">
        <w:rPr>
          <w:rFonts w:cs="Arial"/>
          <w:szCs w:val="20"/>
          <w:lang w:val="en-AU"/>
        </w:rPr>
        <w:t>sexual gender based violence (</w:t>
      </w:r>
      <w:r w:rsidR="0007289F">
        <w:rPr>
          <w:rFonts w:cs="Arial"/>
          <w:szCs w:val="20"/>
          <w:lang w:val="en-AU"/>
        </w:rPr>
        <w:t>SGBV</w:t>
      </w:r>
      <w:r w:rsidR="006264E4">
        <w:rPr>
          <w:rFonts w:cs="Arial"/>
          <w:szCs w:val="20"/>
          <w:lang w:val="en-AU"/>
        </w:rPr>
        <w:t>)</w:t>
      </w:r>
      <w:r w:rsidR="0007289F">
        <w:rPr>
          <w:rFonts w:cs="Arial"/>
          <w:szCs w:val="20"/>
          <w:lang w:val="en-AU"/>
        </w:rPr>
        <w:t xml:space="preserve"> appear to be prevalent. </w:t>
      </w:r>
      <w:r w:rsidR="0007289F">
        <w:rPr>
          <w:rFonts w:cs="Arial"/>
        </w:rPr>
        <w:t>89% of Sudanese women have unde</w:t>
      </w:r>
      <w:r w:rsidR="0053252E">
        <w:rPr>
          <w:rFonts w:cs="Arial"/>
        </w:rPr>
        <w:t xml:space="preserve">rgone </w:t>
      </w:r>
      <w:r w:rsidR="006264E4">
        <w:rPr>
          <w:rFonts w:cs="Arial"/>
        </w:rPr>
        <w:t>FGM/C:</w:t>
      </w:r>
      <w:r w:rsidR="0053252E">
        <w:rPr>
          <w:rFonts w:cs="Arial"/>
        </w:rPr>
        <w:t xml:space="preserve"> 87% of girls and women 15-49, and 32% of girls aged 0-14 (as reported by their mother).</w:t>
      </w:r>
      <w:r w:rsidR="0053252E">
        <w:rPr>
          <w:rStyle w:val="EndnoteReference"/>
          <w:rFonts w:cs="Arial"/>
        </w:rPr>
        <w:endnoteReference w:id="23"/>
      </w:r>
      <w:r w:rsidR="0053252E">
        <w:rPr>
          <w:rFonts w:cs="Arial"/>
        </w:rPr>
        <w:t xml:space="preserve"> </w:t>
      </w:r>
      <w:r w:rsidR="00C31D1C">
        <w:rPr>
          <w:rFonts w:cs="Arial"/>
        </w:rPr>
        <w:t xml:space="preserve">Marital rape is not recognized, nor are there laws protecting against domestic violence of sexual harassment. </w:t>
      </w:r>
      <w:r w:rsidR="0007289F">
        <w:rPr>
          <w:rFonts w:cs="Arial"/>
        </w:rPr>
        <w:t xml:space="preserve">Legal avenues for protection or legal redress in response to sexual violence are lacking, either </w:t>
      </w:r>
      <w:r w:rsidR="006264E4">
        <w:rPr>
          <w:rFonts w:cs="Arial"/>
        </w:rPr>
        <w:t>for</w:t>
      </w:r>
      <w:r w:rsidR="0007289F">
        <w:rPr>
          <w:rFonts w:cs="Arial"/>
        </w:rPr>
        <w:t xml:space="preserve"> fear of reporting, lack of investigation or persecution, or pressure to step down. </w:t>
      </w:r>
      <w:r w:rsidR="0027359C">
        <w:rPr>
          <w:rFonts w:cs="Arial"/>
        </w:rPr>
        <w:t xml:space="preserve">The LGBTI community also face particular challenges, reportedly at increasing risk of violence and discrimination. </w:t>
      </w:r>
    </w:p>
    <w:p w:rsidR="006264E4" w:rsidRDefault="006264E4" w:rsidP="00AB1593">
      <w:pPr>
        <w:jc w:val="both"/>
        <w:rPr>
          <w:rFonts w:cs="Arial"/>
        </w:rPr>
      </w:pPr>
    </w:p>
    <w:p w:rsidR="0053252E" w:rsidRPr="0027359C" w:rsidRDefault="00D94813" w:rsidP="00AB1593">
      <w:pPr>
        <w:jc w:val="both"/>
        <w:rPr>
          <w:rFonts w:cs="Arial"/>
          <w:szCs w:val="20"/>
          <w:lang w:val="en-AU"/>
        </w:rPr>
      </w:pPr>
      <w:r>
        <w:rPr>
          <w:rFonts w:cs="Arial"/>
        </w:rPr>
        <w:t xml:space="preserve">Sudanese women and girls, particularly those who are internally displaced, refugees, or from rural areas, face particular vulnerability to various forms of exploitation including domestic servitude, and human trafficking. Sudanese children are at particular risk of recruitment as combatants by both government forces and armed groups. </w:t>
      </w:r>
      <w:r w:rsidR="004F168B">
        <w:rPr>
          <w:rFonts w:cs="Arial"/>
        </w:rPr>
        <w:t>Female activists and human rights defenders are regularl</w:t>
      </w:r>
      <w:r w:rsidR="00536E13">
        <w:rPr>
          <w:rFonts w:cs="Arial"/>
        </w:rPr>
        <w:t xml:space="preserve">y targeted in a range of abuses aimed to stifle dissent by the government, including through arbitrary arrest, unlawful detention, surveillance, beatings, and the use of lethal force to dissolve protests or demonstrations. </w:t>
      </w:r>
      <w:r w:rsidR="00892617">
        <w:rPr>
          <w:rFonts w:cs="Arial"/>
        </w:rPr>
        <w:t>Female activists report high levels of GBV in response to their activism, often perpetrated by police or national security agents.</w:t>
      </w:r>
      <w:r w:rsidR="00892617">
        <w:rPr>
          <w:rStyle w:val="EndnoteReference"/>
          <w:rFonts w:cs="Arial"/>
        </w:rPr>
        <w:endnoteReference w:id="24"/>
      </w:r>
      <w:r w:rsidR="00892617">
        <w:rPr>
          <w:rFonts w:cs="Arial"/>
        </w:rPr>
        <w:t xml:space="preserve"> </w:t>
      </w:r>
    </w:p>
    <w:p w:rsidR="00DB689A" w:rsidRPr="0032556F" w:rsidRDefault="00DB689A" w:rsidP="009535BF">
      <w:pPr>
        <w:jc w:val="both"/>
        <w:rPr>
          <w:rFonts w:cs="Arial"/>
          <w:i/>
          <w:szCs w:val="20"/>
          <w:lang w:val="en-AU"/>
        </w:rPr>
      </w:pPr>
    </w:p>
    <w:p w:rsidR="00637CBB" w:rsidRPr="00CC0CBF" w:rsidRDefault="00E92CC8" w:rsidP="00392448">
      <w:pPr>
        <w:jc w:val="both"/>
        <w:rPr>
          <w:rFonts w:cs="Arial"/>
        </w:rPr>
      </w:pPr>
      <w:r w:rsidRPr="00375DC8">
        <w:rPr>
          <w:rFonts w:eastAsia="Times New Roman" w:cs="Arial"/>
          <w:b/>
          <w:color w:val="E36C0A" w:themeColor="accent6" w:themeShade="BF"/>
          <w:szCs w:val="20"/>
          <w:lang w:val="en-AU" w:eastAsia="en-AU"/>
        </w:rPr>
        <w:t xml:space="preserve">Gender in Emergencies: </w:t>
      </w:r>
      <w:r w:rsidR="003D489B">
        <w:rPr>
          <w:rFonts w:cs="Arial"/>
        </w:rPr>
        <w:t xml:space="preserve">The situation is Sudan is complex and complicated, with Sudan functioning as a transit, source, and destination country for asylum seekers, refugees and migrants; and </w:t>
      </w:r>
      <w:r w:rsidR="0007289F">
        <w:rPr>
          <w:rFonts w:cs="Arial"/>
        </w:rPr>
        <w:t>w</w:t>
      </w:r>
      <w:r w:rsidR="003D489B">
        <w:rPr>
          <w:rFonts w:cs="Arial"/>
        </w:rPr>
        <w:t>ith ongoing internal conflict within the country</w:t>
      </w:r>
      <w:r w:rsidR="00E87469">
        <w:rPr>
          <w:rFonts w:cs="Arial"/>
        </w:rPr>
        <w:t>.  Sudan currently hosts over 300,000</w:t>
      </w:r>
      <w:r w:rsidR="003D489B">
        <w:rPr>
          <w:rFonts w:cs="Arial"/>
        </w:rPr>
        <w:t xml:space="preserve"> refugees and asylum seekers from</w:t>
      </w:r>
      <w:r w:rsidR="003B0F59">
        <w:rPr>
          <w:rFonts w:cs="Arial"/>
        </w:rPr>
        <w:t xml:space="preserve"> nearby countries, as well as over 3 million</w:t>
      </w:r>
      <w:r w:rsidR="003D489B">
        <w:rPr>
          <w:rFonts w:cs="Arial"/>
        </w:rPr>
        <w:t xml:space="preserve"> internally displaced.</w:t>
      </w:r>
      <w:r w:rsidR="003B0F59">
        <w:rPr>
          <w:rStyle w:val="EndnoteReference"/>
          <w:rFonts w:cs="Arial"/>
        </w:rPr>
        <w:endnoteReference w:id="25"/>
      </w:r>
      <w:r w:rsidR="003D489B">
        <w:rPr>
          <w:rFonts w:cs="Arial"/>
        </w:rPr>
        <w:t xml:space="preserve"> In addition, an estimated 350,000 individuals of South Sudanese </w:t>
      </w:r>
      <w:r w:rsidR="0007289F">
        <w:rPr>
          <w:rFonts w:cs="Arial"/>
        </w:rPr>
        <w:t xml:space="preserve">origin </w:t>
      </w:r>
      <w:r w:rsidR="003D489B">
        <w:rPr>
          <w:rFonts w:cs="Arial"/>
        </w:rPr>
        <w:t xml:space="preserve">remain in Sudan </w:t>
      </w:r>
      <w:r w:rsidR="0007289F">
        <w:rPr>
          <w:rFonts w:cs="Arial"/>
        </w:rPr>
        <w:t xml:space="preserve">following the secession in 2011; these people </w:t>
      </w:r>
      <w:r w:rsidR="003D489B">
        <w:rPr>
          <w:rFonts w:cs="Arial"/>
        </w:rPr>
        <w:t>may have difficulties in regards to their nationality entitlements, both in Sudan and South Sudan.</w:t>
      </w:r>
      <w:r w:rsidR="00E87469">
        <w:rPr>
          <w:rStyle w:val="EndnoteReference"/>
          <w:rFonts w:cs="Arial"/>
        </w:rPr>
        <w:endnoteReference w:id="26"/>
      </w:r>
      <w:r w:rsidR="003D489B">
        <w:rPr>
          <w:rFonts w:cs="Arial"/>
        </w:rPr>
        <w:t xml:space="preserve"> </w:t>
      </w:r>
      <w:r w:rsidR="00E87469">
        <w:rPr>
          <w:rFonts w:cs="Arial"/>
        </w:rPr>
        <w:t>A</w:t>
      </w:r>
      <w:r w:rsidR="0015378B">
        <w:rPr>
          <w:rFonts w:cs="Arial"/>
        </w:rPr>
        <w:t xml:space="preserve">t the time of the 2016 Humanitarian Response Plan for Sudan, 5.8 million people </w:t>
      </w:r>
      <w:r w:rsidR="0007289F">
        <w:rPr>
          <w:rFonts w:cs="Arial"/>
        </w:rPr>
        <w:t>were</w:t>
      </w:r>
      <w:r w:rsidR="00E87469">
        <w:rPr>
          <w:rFonts w:cs="Arial"/>
        </w:rPr>
        <w:t xml:space="preserve"> </w:t>
      </w:r>
      <w:r w:rsidR="0015378B">
        <w:rPr>
          <w:rFonts w:cs="Arial"/>
        </w:rPr>
        <w:t>in need of humanitarian assistance,</w:t>
      </w:r>
      <w:r w:rsidR="0015378B">
        <w:rPr>
          <w:rStyle w:val="EndnoteReference"/>
          <w:rFonts w:cs="Arial"/>
        </w:rPr>
        <w:endnoteReference w:id="27"/>
      </w:r>
      <w:r w:rsidR="0015378B">
        <w:rPr>
          <w:rFonts w:cs="Arial"/>
        </w:rPr>
        <w:t xml:space="preserve"> arising largely due to displacement, malnutrition, and food insecurity worsened by El Niño. According to IOM, 80% of single person-headed households in North and South Dafur are headed by women, exposing women and girls to </w:t>
      </w:r>
      <w:r w:rsidR="0007289F">
        <w:rPr>
          <w:rFonts w:cs="Arial"/>
        </w:rPr>
        <w:t xml:space="preserve">increasing burden and risk, but also opening up areas for </w:t>
      </w:r>
      <w:r w:rsidR="0015378B">
        <w:rPr>
          <w:rFonts w:cs="Arial"/>
        </w:rPr>
        <w:t xml:space="preserve">adaptation in tradition </w:t>
      </w:r>
      <w:r w:rsidR="003D489B">
        <w:rPr>
          <w:rFonts w:cs="Arial"/>
        </w:rPr>
        <w:t>gender roles</w:t>
      </w:r>
      <w:r w:rsidR="0015378B">
        <w:rPr>
          <w:rFonts w:cs="Arial"/>
        </w:rPr>
        <w:t xml:space="preserve">. </w:t>
      </w:r>
      <w:r w:rsidR="00C67405">
        <w:rPr>
          <w:rFonts w:cs="Arial"/>
        </w:rPr>
        <w:t>Cases of women working with conflict-affected communities being targeted for abuse, detention, harassment and threats by the State have been recorded.</w:t>
      </w:r>
      <w:r w:rsidR="00C67405">
        <w:rPr>
          <w:rStyle w:val="EndnoteReference"/>
          <w:rFonts w:cs="Arial"/>
        </w:rPr>
        <w:endnoteReference w:id="28"/>
      </w:r>
      <w:r w:rsidR="00C67405">
        <w:rPr>
          <w:rFonts w:cs="Arial"/>
        </w:rPr>
        <w:t xml:space="preserve"> </w:t>
      </w:r>
      <w:bookmarkStart w:id="0" w:name="_GoBack"/>
      <w:bookmarkEnd w:id="0"/>
    </w:p>
    <w:sectPr w:rsidR="00637CBB" w:rsidRPr="00CC0CBF" w:rsidSect="0027359C">
      <w:headerReference w:type="default" r:id="rId8"/>
      <w:footerReference w:type="default" r:id="rId9"/>
      <w:headerReference w:type="first" r:id="rId10"/>
      <w:footerReference w:type="first" r:id="rId11"/>
      <w:endnotePr>
        <w:numFmt w:val="decimal"/>
      </w:endnotePr>
      <w:type w:val="continuous"/>
      <w:pgSz w:w="11906" w:h="16838"/>
      <w:pgMar w:top="851" w:right="964" w:bottom="794" w:left="964" w:header="0" w:footer="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C1431" w:rsidRDefault="000C1431" w:rsidP="008C2949">
      <w:r>
        <w:separator/>
      </w:r>
    </w:p>
  </w:endnote>
  <w:endnote w:type="continuationSeparator" w:id="1">
    <w:p w:rsidR="000C1431" w:rsidRDefault="000C1431" w:rsidP="008C2949">
      <w:r>
        <w:continuationSeparator/>
      </w:r>
    </w:p>
  </w:endnote>
  <w:endnote w:id="2">
    <w:p w:rsidR="000C1431" w:rsidRPr="00C67405" w:rsidRDefault="000C1431">
      <w:pPr>
        <w:pStyle w:val="EndnoteText"/>
        <w:rPr>
          <w:sz w:val="16"/>
          <w:szCs w:val="16"/>
        </w:rPr>
      </w:pPr>
      <w:r w:rsidRPr="004C13A7">
        <w:rPr>
          <w:rStyle w:val="EndnoteReference"/>
          <w:sz w:val="16"/>
          <w:szCs w:val="16"/>
        </w:rPr>
        <w:endnoteRef/>
      </w:r>
      <w:r w:rsidRPr="004C13A7">
        <w:rPr>
          <w:sz w:val="16"/>
          <w:szCs w:val="16"/>
        </w:rPr>
        <w:t xml:space="preserve"> </w:t>
      </w:r>
      <w:r>
        <w:rPr>
          <w:sz w:val="16"/>
          <w:szCs w:val="16"/>
        </w:rPr>
        <w:t>World Bank data, Sudan page</w:t>
      </w:r>
    </w:p>
  </w:endnote>
  <w:endnote w:id="3">
    <w:p w:rsidR="000C1431" w:rsidRPr="0027359C" w:rsidRDefault="000C1431">
      <w:pPr>
        <w:pStyle w:val="EndnoteText"/>
        <w:rPr>
          <w:rFonts w:cs="Arial"/>
          <w:sz w:val="16"/>
          <w:szCs w:val="16"/>
        </w:rPr>
      </w:pPr>
      <w:r w:rsidRPr="00C67405">
        <w:rPr>
          <w:rStyle w:val="EndnoteReference"/>
          <w:sz w:val="16"/>
          <w:szCs w:val="16"/>
        </w:rPr>
        <w:endnoteRef/>
      </w:r>
      <w:r>
        <w:rPr>
          <w:sz w:val="16"/>
          <w:szCs w:val="16"/>
        </w:rPr>
        <w:t xml:space="preserve"> Ibid</w:t>
      </w:r>
    </w:p>
  </w:endnote>
  <w:endnote w:id="4">
    <w:p w:rsidR="000C1431" w:rsidRPr="0027359C" w:rsidRDefault="000C1431">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Sudan MICS 2014, UNICEF</w:t>
      </w:r>
    </w:p>
  </w:endnote>
  <w:endnote w:id="5">
    <w:p w:rsidR="000C1431" w:rsidRPr="0027359C" w:rsidRDefault="000C1431">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w:t>
      </w:r>
      <w:r>
        <w:rPr>
          <w:rFonts w:cs="Arial"/>
          <w:sz w:val="16"/>
          <w:szCs w:val="16"/>
        </w:rPr>
        <w:t>Ibid</w:t>
      </w:r>
    </w:p>
  </w:endnote>
  <w:endnote w:id="6">
    <w:p w:rsidR="000C1431" w:rsidRPr="0027359C" w:rsidRDefault="000C1431">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World Bank data, Sudan page</w:t>
      </w:r>
    </w:p>
  </w:endnote>
  <w:endnote w:id="7">
    <w:p w:rsidR="000C1431" w:rsidRPr="0027359C" w:rsidRDefault="000C1431">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Sudan MICS 2014, UNICEF</w:t>
      </w:r>
    </w:p>
  </w:endnote>
  <w:endnote w:id="8">
    <w:p w:rsidR="000C1431" w:rsidRPr="0027359C" w:rsidRDefault="000C1431">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w:t>
      </w:r>
      <w:r>
        <w:rPr>
          <w:rFonts w:cs="Arial"/>
          <w:sz w:val="16"/>
          <w:szCs w:val="16"/>
        </w:rPr>
        <w:t>Ibid</w:t>
      </w:r>
      <w:r w:rsidRPr="0027359C">
        <w:rPr>
          <w:rFonts w:cs="Arial"/>
          <w:sz w:val="16"/>
          <w:szCs w:val="16"/>
        </w:rPr>
        <w:t xml:space="preserve"> </w:t>
      </w:r>
    </w:p>
  </w:endnote>
  <w:endnote w:id="9">
    <w:p w:rsidR="000C1431" w:rsidRPr="0027359C" w:rsidRDefault="000C1431">
      <w:pPr>
        <w:pStyle w:val="EndnoteText"/>
        <w:rPr>
          <w:rFonts w:cs="Arial"/>
          <w:i/>
          <w:sz w:val="16"/>
          <w:szCs w:val="16"/>
          <w:lang w:val="en-AU"/>
        </w:rPr>
      </w:pPr>
      <w:r w:rsidRPr="0027359C">
        <w:rPr>
          <w:rStyle w:val="EndnoteReference"/>
          <w:rFonts w:cs="Arial"/>
          <w:sz w:val="16"/>
          <w:szCs w:val="16"/>
        </w:rPr>
        <w:endnoteRef/>
      </w:r>
      <w:r w:rsidRPr="0027359C">
        <w:rPr>
          <w:rFonts w:cs="Arial"/>
          <w:sz w:val="16"/>
          <w:szCs w:val="16"/>
        </w:rPr>
        <w:t xml:space="preserve"> UNICEF, </w:t>
      </w:r>
      <w:r w:rsidRPr="0027359C">
        <w:rPr>
          <w:rFonts w:cs="Arial"/>
          <w:i/>
          <w:sz w:val="16"/>
          <w:szCs w:val="16"/>
        </w:rPr>
        <w:t>Maternal Mortality Rates 2015 Database</w:t>
      </w:r>
      <w:r w:rsidRPr="0027359C">
        <w:rPr>
          <w:rFonts w:cs="Arial"/>
          <w:sz w:val="16"/>
          <w:szCs w:val="16"/>
        </w:rPr>
        <w:t>, https://data.unicef.org/topic/maternal-health/maternal-mortality/</w:t>
      </w:r>
    </w:p>
  </w:endnote>
  <w:endnote w:id="10">
    <w:p w:rsidR="000C1431" w:rsidRPr="0027359C" w:rsidRDefault="000C1431">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Sudan MICS 2014, UNICEF</w:t>
      </w:r>
    </w:p>
  </w:endnote>
  <w:endnote w:id="11">
    <w:p w:rsidR="000C1431" w:rsidRPr="0027359C" w:rsidRDefault="000C1431" w:rsidP="008C0AA7">
      <w:pPr>
        <w:rPr>
          <w:rFonts w:eastAsia="Times New Roman" w:cs="Arial"/>
          <w:sz w:val="16"/>
          <w:szCs w:val="16"/>
          <w:lang w:val="en-AU"/>
        </w:rPr>
      </w:pPr>
      <w:r w:rsidRPr="0027359C">
        <w:rPr>
          <w:rStyle w:val="EndnoteReference"/>
          <w:rFonts w:cs="Arial"/>
          <w:sz w:val="16"/>
          <w:szCs w:val="16"/>
        </w:rPr>
        <w:endnoteRef/>
      </w:r>
      <w:r w:rsidRPr="0027359C">
        <w:rPr>
          <w:rFonts w:cs="Arial"/>
          <w:sz w:val="16"/>
          <w:szCs w:val="16"/>
        </w:rPr>
        <w:t xml:space="preserve"> </w:t>
      </w:r>
      <w:r w:rsidRPr="0027359C">
        <w:rPr>
          <w:rFonts w:eastAsia="Times New Roman" w:cs="Arial"/>
          <w:sz w:val="16"/>
          <w:szCs w:val="16"/>
          <w:lang w:val="en-AU"/>
        </w:rPr>
        <w:t>Norwegian Refugee Council. 2015. Global Overview 2015: People Internally Displaced by Conflict and Violence.</w:t>
      </w:r>
    </w:p>
  </w:endnote>
  <w:endnote w:id="12">
    <w:p w:rsidR="000C1431" w:rsidRPr="0027359C" w:rsidRDefault="000C1431" w:rsidP="00146BE8">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Sudan MICS 2014, UNICEF</w:t>
      </w:r>
    </w:p>
  </w:endnote>
  <w:endnote w:id="13">
    <w:p w:rsidR="000C1431" w:rsidRPr="0027359C" w:rsidRDefault="000C1431">
      <w:pPr>
        <w:pStyle w:val="EndnoteText"/>
        <w:rPr>
          <w:rFonts w:cs="Arial"/>
          <w:sz w:val="16"/>
          <w:szCs w:val="16"/>
        </w:rPr>
      </w:pPr>
      <w:r w:rsidRPr="0027359C">
        <w:rPr>
          <w:rStyle w:val="EndnoteReference"/>
          <w:rFonts w:cs="Arial"/>
          <w:sz w:val="16"/>
          <w:szCs w:val="16"/>
        </w:rPr>
        <w:endnoteRef/>
      </w:r>
      <w:r>
        <w:rPr>
          <w:rFonts w:cs="Arial"/>
          <w:sz w:val="16"/>
          <w:szCs w:val="16"/>
        </w:rPr>
        <w:t xml:space="preserve"> UNFPA,</w:t>
      </w:r>
      <w:r w:rsidRPr="0027359C">
        <w:rPr>
          <w:rFonts w:cs="Arial"/>
          <w:sz w:val="16"/>
          <w:szCs w:val="16"/>
        </w:rPr>
        <w:t xml:space="preserve"> Population</w:t>
      </w:r>
      <w:r>
        <w:rPr>
          <w:rFonts w:cs="Arial"/>
          <w:sz w:val="16"/>
          <w:szCs w:val="16"/>
        </w:rPr>
        <w:t xml:space="preserve"> Dynamics of Sudan, 2013, </w:t>
      </w:r>
      <w:r w:rsidRPr="0027359C">
        <w:rPr>
          <w:rFonts w:cs="Arial"/>
          <w:sz w:val="16"/>
          <w:szCs w:val="16"/>
        </w:rPr>
        <w:t>http://countryoffice.unfpa.org/filemanager/files/sudan/facts/population_fact_sheet_final1.pdf</w:t>
      </w:r>
    </w:p>
  </w:endnote>
  <w:endnote w:id="14">
    <w:p w:rsidR="000C1431" w:rsidRPr="0027359C" w:rsidRDefault="000C1431">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SIGI Sudan Country Profile, http://www.genderindex.org/country/sudan</w:t>
      </w:r>
    </w:p>
  </w:endnote>
  <w:endnote w:id="15">
    <w:p w:rsidR="000C1431" w:rsidRPr="0027359C" w:rsidRDefault="000C1431" w:rsidP="006264E4">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Sudan MICS 2014, UNICEF</w:t>
      </w:r>
    </w:p>
  </w:endnote>
  <w:endnote w:id="16">
    <w:p w:rsidR="000C1431" w:rsidRPr="0027359C" w:rsidRDefault="000C1431">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SIGI Sudan Country Profile</w:t>
      </w:r>
    </w:p>
  </w:endnote>
  <w:endnote w:id="17">
    <w:p w:rsidR="000C1431" w:rsidRPr="0027359C" w:rsidRDefault="000C1431">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Sudan MICS 2014, UNICEF</w:t>
      </w:r>
    </w:p>
  </w:endnote>
  <w:endnote w:id="18">
    <w:p w:rsidR="000C1431" w:rsidRPr="0027359C" w:rsidRDefault="000C1431" w:rsidP="008C0AA7">
      <w:pPr>
        <w:rPr>
          <w:rFonts w:eastAsia="Times New Roman" w:cs="Arial"/>
          <w:sz w:val="16"/>
          <w:szCs w:val="16"/>
          <w:lang w:val="en-AU"/>
        </w:rPr>
      </w:pPr>
      <w:r w:rsidRPr="0027359C">
        <w:rPr>
          <w:rStyle w:val="EndnoteReference"/>
          <w:rFonts w:cs="Arial"/>
          <w:sz w:val="16"/>
          <w:szCs w:val="16"/>
        </w:rPr>
        <w:endnoteRef/>
      </w:r>
      <w:r w:rsidRPr="0027359C">
        <w:rPr>
          <w:rFonts w:cs="Arial"/>
          <w:sz w:val="16"/>
          <w:szCs w:val="16"/>
        </w:rPr>
        <w:t xml:space="preserve"> </w:t>
      </w:r>
      <w:r w:rsidRPr="0027359C">
        <w:rPr>
          <w:rFonts w:eastAsia="Times New Roman" w:cs="Arial"/>
          <w:sz w:val="16"/>
          <w:szCs w:val="16"/>
          <w:lang w:val="en-AU"/>
        </w:rPr>
        <w:t>UNDP Human Development Index 2015</w:t>
      </w:r>
    </w:p>
  </w:endnote>
  <w:endnote w:id="19">
    <w:p w:rsidR="000C1431" w:rsidRPr="0027359C" w:rsidRDefault="000C1431">
      <w:pPr>
        <w:pStyle w:val="EndnoteText"/>
        <w:rPr>
          <w:rFonts w:cs="Arial"/>
          <w:sz w:val="16"/>
          <w:szCs w:val="16"/>
        </w:rPr>
      </w:pPr>
      <w:r w:rsidRPr="0027359C">
        <w:rPr>
          <w:rStyle w:val="EndnoteReference"/>
          <w:rFonts w:cs="Arial"/>
          <w:sz w:val="16"/>
          <w:szCs w:val="16"/>
        </w:rPr>
        <w:endnoteRef/>
      </w:r>
      <w:r>
        <w:rPr>
          <w:rFonts w:cs="Arial"/>
          <w:sz w:val="16"/>
          <w:szCs w:val="16"/>
        </w:rPr>
        <w:t xml:space="preserve"> UNFPA, Population Dynamics of Sudan, 2013</w:t>
      </w:r>
    </w:p>
  </w:endnote>
  <w:endnote w:id="20">
    <w:p w:rsidR="000C1431" w:rsidRPr="0027359C" w:rsidRDefault="000C1431">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23% of women reported having the opportunity to access credit in the previous six months. UN Women, Supporting Women’s Empowerment and Gender Equality in Fragile States: Sudan, 2016</w:t>
      </w:r>
    </w:p>
  </w:endnote>
  <w:endnote w:id="21">
    <w:p w:rsidR="000C1431" w:rsidRPr="0027359C" w:rsidRDefault="000C1431" w:rsidP="0027359C">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UN Women, Supporting Women’s Empowerment and Gender Equality in Fragile States: Sudan, 2016</w:t>
      </w:r>
    </w:p>
  </w:endnote>
  <w:endnote w:id="22">
    <w:p w:rsidR="000C1431" w:rsidRPr="0027359C" w:rsidRDefault="000C1431">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https://www.hrw.org/report/2016/03/23/good-girls-dont-protest/repression-and-abuse-women-human-rights-defenders</w:t>
      </w:r>
    </w:p>
  </w:endnote>
  <w:endnote w:id="23">
    <w:p w:rsidR="000C1431" w:rsidRPr="0027359C" w:rsidRDefault="000C1431">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Sudan MICS 2014, UNICEF</w:t>
      </w:r>
    </w:p>
  </w:endnote>
  <w:endnote w:id="24">
    <w:p w:rsidR="000C1431" w:rsidRPr="0027359C" w:rsidRDefault="000C1431">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w:t>
      </w:r>
      <w:r>
        <w:rPr>
          <w:rFonts w:cs="Arial"/>
          <w:sz w:val="16"/>
          <w:szCs w:val="16"/>
        </w:rPr>
        <w:t>HRW ‘</w:t>
      </w:r>
      <w:r>
        <w:rPr>
          <w:rFonts w:cs="Arial"/>
          <w:i/>
          <w:sz w:val="16"/>
          <w:szCs w:val="16"/>
        </w:rPr>
        <w:t xml:space="preserve">Good Girls Don’t Protest’ </w:t>
      </w:r>
      <w:r>
        <w:rPr>
          <w:rFonts w:cs="Arial"/>
          <w:sz w:val="16"/>
          <w:szCs w:val="16"/>
        </w:rPr>
        <w:t xml:space="preserve">Report, </w:t>
      </w:r>
      <w:r w:rsidRPr="0027359C">
        <w:rPr>
          <w:rFonts w:cs="Arial"/>
          <w:sz w:val="16"/>
          <w:szCs w:val="16"/>
        </w:rPr>
        <w:t>https://www.hrw.org/report/2016/03/23/good-girls-dont-protest/repression-and-abuse-women-human-rights-defenders</w:t>
      </w:r>
    </w:p>
  </w:endnote>
  <w:endnote w:id="25">
    <w:p w:rsidR="000C1431" w:rsidRPr="0027359C" w:rsidRDefault="000C1431">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UNHCR Reporting, </w:t>
      </w:r>
      <w:r w:rsidRPr="0027359C">
        <w:rPr>
          <w:rFonts w:cs="Arial"/>
          <w:i/>
          <w:sz w:val="16"/>
          <w:szCs w:val="16"/>
        </w:rPr>
        <w:t xml:space="preserve">Sudan, </w:t>
      </w:r>
      <w:hyperlink r:id="rId1" w:history="1">
        <w:r w:rsidRPr="0027359C">
          <w:rPr>
            <w:rStyle w:val="Hyperlink"/>
            <w:rFonts w:cs="Arial"/>
            <w:sz w:val="16"/>
            <w:szCs w:val="16"/>
          </w:rPr>
          <w:t>http://reporting.unhcr.org/node/2535</w:t>
        </w:r>
      </w:hyperlink>
      <w:r w:rsidRPr="0027359C">
        <w:rPr>
          <w:rFonts w:cs="Arial"/>
          <w:sz w:val="16"/>
          <w:szCs w:val="16"/>
        </w:rPr>
        <w:t>, accessed 28 February 2017</w:t>
      </w:r>
    </w:p>
  </w:endnote>
  <w:endnote w:id="26">
    <w:p w:rsidR="000C1431" w:rsidRPr="0027359C" w:rsidRDefault="000C1431">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w:t>
      </w:r>
      <w:r>
        <w:rPr>
          <w:rFonts w:cs="Arial"/>
          <w:sz w:val="16"/>
          <w:szCs w:val="16"/>
        </w:rPr>
        <w:t xml:space="preserve">Sudan Humanitarian Response Plan, 2016 </w:t>
      </w:r>
      <w:r w:rsidRPr="0027359C">
        <w:rPr>
          <w:rFonts w:cs="Arial"/>
          <w:sz w:val="16"/>
          <w:szCs w:val="16"/>
        </w:rPr>
        <w:t>http://reliefweb.int/sites/reliefweb.int/files/resources/Sudan_2016_Humanitarian_Response_Plan.pdf</w:t>
      </w:r>
    </w:p>
  </w:endnote>
  <w:endnote w:id="27">
    <w:p w:rsidR="000C1431" w:rsidRPr="0027359C" w:rsidRDefault="000C1431">
      <w:pPr>
        <w:pStyle w:val="EndnoteText"/>
        <w:rPr>
          <w:rFonts w:cs="Arial"/>
          <w:sz w:val="16"/>
          <w:szCs w:val="16"/>
        </w:rPr>
      </w:pPr>
      <w:r w:rsidRPr="0027359C">
        <w:rPr>
          <w:rStyle w:val="EndnoteReference"/>
          <w:rFonts w:cs="Arial"/>
          <w:sz w:val="16"/>
          <w:szCs w:val="16"/>
        </w:rPr>
        <w:endnoteRef/>
      </w:r>
      <w:r w:rsidRPr="0027359C">
        <w:rPr>
          <w:rFonts w:cs="Arial"/>
          <w:sz w:val="16"/>
          <w:szCs w:val="16"/>
        </w:rPr>
        <w:t xml:space="preserve"> </w:t>
      </w:r>
      <w:r>
        <w:rPr>
          <w:rFonts w:cs="Arial"/>
          <w:sz w:val="16"/>
          <w:szCs w:val="16"/>
        </w:rPr>
        <w:t>Ibid</w:t>
      </w:r>
    </w:p>
  </w:endnote>
  <w:endnote w:id="28">
    <w:p w:rsidR="000C1431" w:rsidRDefault="000C1431">
      <w:pPr>
        <w:pStyle w:val="EndnoteText"/>
      </w:pPr>
      <w:r w:rsidRPr="0027359C">
        <w:rPr>
          <w:rStyle w:val="EndnoteReference"/>
          <w:rFonts w:cs="Arial"/>
          <w:sz w:val="16"/>
          <w:szCs w:val="16"/>
        </w:rPr>
        <w:endnoteRef/>
      </w:r>
      <w:r w:rsidRPr="0027359C">
        <w:rPr>
          <w:rFonts w:cs="Arial"/>
          <w:sz w:val="16"/>
          <w:szCs w:val="16"/>
        </w:rPr>
        <w:t xml:space="preserve"> </w:t>
      </w:r>
      <w:r>
        <w:rPr>
          <w:rFonts w:cs="Arial"/>
          <w:sz w:val="16"/>
          <w:szCs w:val="16"/>
        </w:rPr>
        <w:t>HRW ‘</w:t>
      </w:r>
      <w:r>
        <w:rPr>
          <w:rFonts w:cs="Arial"/>
          <w:i/>
          <w:sz w:val="16"/>
          <w:szCs w:val="16"/>
        </w:rPr>
        <w:t xml:space="preserve">Good Girls Don’t Protest’ </w:t>
      </w:r>
      <w:r>
        <w:rPr>
          <w:rFonts w:cs="Arial"/>
          <w:sz w:val="16"/>
          <w:szCs w:val="16"/>
        </w:rPr>
        <w:t>Report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altName w:val="Arial"/>
    <w:panose1 w:val="00000000000000000000"/>
    <w:charset w:val="00"/>
    <w:family w:val="auto"/>
    <w:pitch w:val="variable"/>
    <w:sig w:usb0="E1000AEF" w:usb1="5000A1FF" w:usb2="00000000" w:usb3="00000000" w:csb0="000001BF" w:csb1="00000000"/>
  </w:font>
  <w:font w:name="ITC Officina Sans Book">
    <w:altName w:val="Cambria"/>
    <w:charset w:val="00"/>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fficina Sans ITC TT">
    <w:altName w:val="Cambria"/>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C1431" w:rsidRPr="00BC1A63" w:rsidRDefault="000C1431" w:rsidP="00BC1A63">
    <w:pPr>
      <w:pStyle w:val="Footer"/>
      <w:ind w:left="-1276"/>
      <w:rPr>
        <w:b/>
      </w:rPr>
    </w:pPr>
    <w:r>
      <w:rPr>
        <w:b/>
        <w:noProof/>
      </w:rPr>
      <w:pict>
        <v:rect id="Rectangle 15" o:spid="_x0000_s4098" style="position:absolute;left:0;text-align:left;margin-left:-117pt;margin-top:-310.85pt;width:728.15pt;height:504.4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" fillcolor="#f79646 [3209]" stroked="f" strokecolor="#f2f2f2 [3041]" strokeweight="3pt">
          <v:shadow color="#974706 [1609]" opacity=".5" mv:blur="0" offset="1pt,3pt"/>
          <w10:wrap anchorx="margin"/>
        </v:rect>
      </w:pict>
    </w:r>
    <w:r>
      <w:rPr>
        <w:b/>
      </w:rPr>
      <w:t xml:space="preserve">             </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C1431" w:rsidRPr="00B6795E" w:rsidRDefault="000C1431" w:rsidP="006812FE">
    <w:pPr>
      <w:pStyle w:val="Footer"/>
      <w:tabs>
        <w:tab w:val="clear" w:pos="4513"/>
        <w:tab w:val="clear" w:pos="9026"/>
        <w:tab w:val="left" w:pos="1019"/>
      </w:tabs>
      <w:ind w:left="-426"/>
    </w:pPr>
    <w:r w:rsidRPr="006812FE">
      <w:rPr>
        <w:noProof/>
      </w:rPr>
      <w:drawing>
        <wp:inline distT="0" distB="0" distL="0" distR="0">
          <wp:extent cx="656114" cy="604104"/>
          <wp:effectExtent l="19050" t="0" r="0" b="0"/>
          <wp:docPr id="1"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a:blip r:embed="rId1"/>
                  <a:stretch>
                    <a:fillRect/>
                  </a:stretch>
                </pic:blipFill>
                <pic:spPr>
                  <a:xfrm>
                    <a:off x="0" y="0"/>
                    <a:ext cx="656114" cy="604104"/>
                  </a:xfrm>
                  <a:prstGeom prst="rect">
                    <a:avLst/>
                  </a:prstGeom>
                </pic:spPr>
              </pic:pic>
            </a:graphicData>
          </a:graphic>
        </wp:inline>
      </w:drawing>
    </w:r>
    <w:r>
      <w:tab/>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C1431" w:rsidRDefault="000C1431" w:rsidP="008C2949">
      <w:r>
        <w:separator/>
      </w:r>
    </w:p>
  </w:footnote>
  <w:footnote w:type="continuationSeparator" w:id="1">
    <w:p w:rsidR="000C1431" w:rsidRDefault="000C1431" w:rsidP="008C294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C1431" w:rsidRPr="002D6D0C" w:rsidRDefault="000C1431" w:rsidP="00BC1A63">
    <w:pPr>
      <w:pStyle w:val="Header"/>
      <w:ind w:left="-567" w:hanging="851"/>
      <w:rPr>
        <w:rFonts w:ascii="Officina Sans ITC TT" w:hAnsi="Officina Sans ITC TT"/>
        <w:sz w:val="52"/>
        <w:szCs w:val="52"/>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C1431" w:rsidRDefault="000C1431" w:rsidP="0059752C">
    <w:pPr>
      <w:pStyle w:val="Header"/>
      <w:ind w:left="-1276"/>
    </w:pPr>
    <w:r>
      <w:rPr>
        <w:noProof/>
      </w:rPr>
      <w:pict>
        <v:shapetype id="_x0000_t202" coordsize="21600,21600" o:spt="202" path="m0,0l0,21600,21600,21600,21600,0xe">
          <v:stroke joinstyle="miter"/>
          <v:path gradientshapeok="t" o:connecttype="rect"/>
        </v:shapetype>
        <v:shape id="Text Box 11" o:spid="_x0000_s4097" type="#_x0000_t202" style="position:absolute;left:0;text-align:left;margin-left:-54pt;margin-top:168.55pt;width:611.65pt;height:11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" fillcolor="#f79646 [3209]" stroked="f" strokecolor="#f2f2f2 [3041]" strokeweight="3pt">
          <v:shadow color="#974706 [1609]" opacity=".5" mv:blur="0" offset="1pt,3pt"/>
          <v:textbox>
            <w:txbxContent>
              <w:p w:rsidR="000C1431" w:rsidRPr="001F2A47" w:rsidRDefault="000C1431" w:rsidP="00E71D4E">
                <w:pPr>
                  <w:ind w:left="1418"/>
                  <w:rPr>
                    <w:rFonts w:ascii="ITC Officina Sans Book" w:hAnsi="ITC Officina Sans Book"/>
                    <w:color w:val="FFFFFF" w:themeColor="background1"/>
                    <w:sz w:val="44"/>
                    <w:szCs w:val="44"/>
                  </w:rPr>
                </w:pPr>
              </w:p>
            </w:txbxContent>
          </v:textbox>
        </v:shape>
      </w:pict>
    </w:r>
    <w:r>
      <w:rPr>
        <w:noProof/>
      </w:rPr>
      <w:pict>
        <v:shape id="Text Box 19" o:spid="_x0000_s4096" type="#_x0000_t202" style="position:absolute;left:0;text-align:left;margin-left:-2.4pt;margin-top:168.75pt;width:244.75pt;height:9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" filled="f" fillcolor="#f79646 [3209]" stroked="f" strokecolor="#f2f2f2 [3041]" strokeweight="3pt">
          <v:textbox>
            <w:txbxContent>
              <w:p w:rsidR="000C1431" w:rsidRPr="00AD6472" w:rsidRDefault="000C1431">
                <w:pPr>
                  <w:rPr>
                    <w:rFonts w:cs="Arial"/>
                    <w:b/>
                    <w:color w:val="FFFFFF" w:themeColor="background1"/>
                    <w:sz w:val="72"/>
                    <w:szCs w:val="72"/>
                  </w:rPr>
                </w:pPr>
                <w:r>
                  <w:rPr>
                    <w:rFonts w:cs="Arial"/>
                    <w:b/>
                    <w:color w:val="FFFFFF" w:themeColor="background1"/>
                    <w:sz w:val="72"/>
                    <w:szCs w:val="72"/>
                  </w:rPr>
                  <w:t>Sudan</w:t>
                </w:r>
              </w:p>
            </w:txbxContent>
          </v:textbox>
        </v:shape>
      </w:pict>
    </w:r>
    <w:r w:rsidRPr="0059752C">
      <w:rPr>
        <w:noProof/>
      </w:rPr>
      <w:drawing>
        <wp:inline distT="0" distB="0" distL="0" distR="0">
          <wp:extent cx="7781925" cy="221731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804504" cy="2223744"/>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464222"/>
    <w:multiLevelType w:val="hybridMultilevel"/>
    <w:tmpl w:val="F564A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AD0F79"/>
    <w:multiLevelType w:val="hybridMultilevel"/>
    <w:tmpl w:val="8116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6623C2"/>
    <w:multiLevelType w:val="hybridMultilevel"/>
    <w:tmpl w:val="02A8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CB13BA"/>
    <w:multiLevelType w:val="hybridMultilevel"/>
    <w:tmpl w:val="1A4C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B01F95"/>
    <w:multiLevelType w:val="hybridMultilevel"/>
    <w:tmpl w:val="AD3E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D76E79"/>
    <w:multiLevelType w:val="hybridMultilevel"/>
    <w:tmpl w:val="EE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85B60"/>
    <w:multiLevelType w:val="hybridMultilevel"/>
    <w:tmpl w:val="8DA6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97524B"/>
    <w:multiLevelType w:val="hybridMultilevel"/>
    <w:tmpl w:val="80C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A346ED"/>
    <w:multiLevelType w:val="hybridMultilevel"/>
    <w:tmpl w:val="63CC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A34E5D"/>
    <w:multiLevelType w:val="hybridMultilevel"/>
    <w:tmpl w:val="8D8CDC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E45173"/>
    <w:multiLevelType w:val="hybridMultilevel"/>
    <w:tmpl w:val="FAD0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15"/>
  </w:num>
  <w:num w:numId="2">
    <w:abstractNumId w:val="16"/>
  </w:num>
  <w:num w:numId="3">
    <w:abstractNumId w:val="9"/>
  </w:num>
  <w:num w:numId="4">
    <w:abstractNumId w:val="6"/>
  </w:num>
  <w:num w:numId="5">
    <w:abstractNumId w:val="12"/>
  </w:num>
  <w:num w:numId="6">
    <w:abstractNumId w:val="8"/>
  </w:num>
  <w:num w:numId="7">
    <w:abstractNumId w:val="13"/>
  </w:num>
  <w:num w:numId="8">
    <w:abstractNumId w:val="5"/>
  </w:num>
  <w:num w:numId="9">
    <w:abstractNumId w:val="1"/>
  </w:num>
  <w:num w:numId="10">
    <w:abstractNumId w:val="10"/>
  </w:num>
  <w:num w:numId="11">
    <w:abstractNumId w:val="2"/>
  </w:num>
  <w:num w:numId="12">
    <w:abstractNumId w:val="4"/>
  </w:num>
  <w:num w:numId="13">
    <w:abstractNumId w:val="3"/>
  </w:num>
  <w:num w:numId="14">
    <w:abstractNumId w:val="0"/>
  </w:num>
  <w:num w:numId="15">
    <w:abstractNumId w:val="11"/>
  </w:num>
  <w:num w:numId="16">
    <w:abstractNumId w:val="7"/>
  </w:num>
  <w:num w:numId="17">
    <w:abstractNumId w:val="1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20"/>
  <w:characterSpacingControl w:val="doNotCompress"/>
  <w:hdrShapeDefaults>
    <o:shapedefaults v:ext="edit" spidmax="4102" fillcolor="none [3209]" stroke="f" strokecolor="none [3041]">
      <v:fill color="none [3209]"/>
      <v:stroke color="none [3041]" weight="3pt" on="f"/>
      <v:shadow type="perspective" color="none [1609]" opacity=".5" offset="1pt,3pt" offset2="-1pt,2pt"/>
      <o:colormru v:ext="edit" colors="#f93"/>
    </o:shapedefaults>
    <o:shapelayout v:ext="edit">
      <o:idmap v:ext="edit" data="4"/>
    </o:shapelayout>
  </w:hdrShapeDefaults>
  <w:footnotePr>
    <w:footnote w:id="0"/>
    <w:footnote w:id="1"/>
  </w:footnotePr>
  <w:endnotePr>
    <w:numFmt w:val="decimal"/>
    <w:endnote w:id="0"/>
    <w:endnote w:id="1"/>
  </w:endnotePr>
  <w:compat/>
  <w:rsids>
    <w:rsidRoot w:val="008C2949"/>
    <w:rsid w:val="00015248"/>
    <w:rsid w:val="00025FFA"/>
    <w:rsid w:val="00030DBE"/>
    <w:rsid w:val="00035796"/>
    <w:rsid w:val="00054C58"/>
    <w:rsid w:val="00063BD7"/>
    <w:rsid w:val="0007289F"/>
    <w:rsid w:val="00085533"/>
    <w:rsid w:val="000A6E5D"/>
    <w:rsid w:val="000C1431"/>
    <w:rsid w:val="000D01C5"/>
    <w:rsid w:val="000D380F"/>
    <w:rsid w:val="000F10E1"/>
    <w:rsid w:val="000F2BB8"/>
    <w:rsid w:val="00102042"/>
    <w:rsid w:val="00102561"/>
    <w:rsid w:val="00125A69"/>
    <w:rsid w:val="00135D80"/>
    <w:rsid w:val="0014601C"/>
    <w:rsid w:val="00146BE8"/>
    <w:rsid w:val="00152A75"/>
    <w:rsid w:val="0015378B"/>
    <w:rsid w:val="00154818"/>
    <w:rsid w:val="0017649A"/>
    <w:rsid w:val="001809A2"/>
    <w:rsid w:val="00191775"/>
    <w:rsid w:val="0019187F"/>
    <w:rsid w:val="00195917"/>
    <w:rsid w:val="001B374D"/>
    <w:rsid w:val="001B46C4"/>
    <w:rsid w:val="001F2A47"/>
    <w:rsid w:val="001F75F6"/>
    <w:rsid w:val="001F7E91"/>
    <w:rsid w:val="00226489"/>
    <w:rsid w:val="00267092"/>
    <w:rsid w:val="0027359C"/>
    <w:rsid w:val="002904D6"/>
    <w:rsid w:val="00290EE7"/>
    <w:rsid w:val="002971A7"/>
    <w:rsid w:val="002D6D0C"/>
    <w:rsid w:val="002F290E"/>
    <w:rsid w:val="002F7DE3"/>
    <w:rsid w:val="00311F95"/>
    <w:rsid w:val="00320DCE"/>
    <w:rsid w:val="0032556F"/>
    <w:rsid w:val="00332F3D"/>
    <w:rsid w:val="003404F0"/>
    <w:rsid w:val="0038457C"/>
    <w:rsid w:val="00390650"/>
    <w:rsid w:val="00392448"/>
    <w:rsid w:val="003B0F59"/>
    <w:rsid w:val="003C5C5B"/>
    <w:rsid w:val="003D1A4D"/>
    <w:rsid w:val="003D489B"/>
    <w:rsid w:val="003D5EDB"/>
    <w:rsid w:val="003E5806"/>
    <w:rsid w:val="00425369"/>
    <w:rsid w:val="0044708E"/>
    <w:rsid w:val="004633D1"/>
    <w:rsid w:val="00480982"/>
    <w:rsid w:val="00483C15"/>
    <w:rsid w:val="004A3C27"/>
    <w:rsid w:val="004A4D94"/>
    <w:rsid w:val="004A5DA9"/>
    <w:rsid w:val="004C13A7"/>
    <w:rsid w:val="004C44E4"/>
    <w:rsid w:val="004D3813"/>
    <w:rsid w:val="004F168B"/>
    <w:rsid w:val="004F6CC9"/>
    <w:rsid w:val="005003A1"/>
    <w:rsid w:val="00501B53"/>
    <w:rsid w:val="00516B9C"/>
    <w:rsid w:val="0053252E"/>
    <w:rsid w:val="00532BCD"/>
    <w:rsid w:val="005334D2"/>
    <w:rsid w:val="00536E13"/>
    <w:rsid w:val="00571627"/>
    <w:rsid w:val="00573D1D"/>
    <w:rsid w:val="00583A75"/>
    <w:rsid w:val="0059752C"/>
    <w:rsid w:val="005C743D"/>
    <w:rsid w:val="005D1616"/>
    <w:rsid w:val="005D2179"/>
    <w:rsid w:val="005E17A5"/>
    <w:rsid w:val="005E5A10"/>
    <w:rsid w:val="00616B8D"/>
    <w:rsid w:val="006264E4"/>
    <w:rsid w:val="00635A15"/>
    <w:rsid w:val="00637CBB"/>
    <w:rsid w:val="00665A8E"/>
    <w:rsid w:val="0067016F"/>
    <w:rsid w:val="00674BA4"/>
    <w:rsid w:val="006803D9"/>
    <w:rsid w:val="006812FE"/>
    <w:rsid w:val="00697D28"/>
    <w:rsid w:val="006A5E9D"/>
    <w:rsid w:val="006B2267"/>
    <w:rsid w:val="006C1728"/>
    <w:rsid w:val="006D246E"/>
    <w:rsid w:val="006E2890"/>
    <w:rsid w:val="00732DEF"/>
    <w:rsid w:val="00750729"/>
    <w:rsid w:val="00755BE2"/>
    <w:rsid w:val="00772110"/>
    <w:rsid w:val="00777E63"/>
    <w:rsid w:val="007A2B5A"/>
    <w:rsid w:val="007A2BE7"/>
    <w:rsid w:val="007B7264"/>
    <w:rsid w:val="007F4D91"/>
    <w:rsid w:val="007F54D0"/>
    <w:rsid w:val="0081476A"/>
    <w:rsid w:val="00815897"/>
    <w:rsid w:val="00822524"/>
    <w:rsid w:val="00824288"/>
    <w:rsid w:val="008556BD"/>
    <w:rsid w:val="00892617"/>
    <w:rsid w:val="008B526F"/>
    <w:rsid w:val="008C0AA7"/>
    <w:rsid w:val="008C2949"/>
    <w:rsid w:val="008D1676"/>
    <w:rsid w:val="008E3698"/>
    <w:rsid w:val="00922B60"/>
    <w:rsid w:val="00934306"/>
    <w:rsid w:val="009535BF"/>
    <w:rsid w:val="00960DAC"/>
    <w:rsid w:val="009756F9"/>
    <w:rsid w:val="00984C96"/>
    <w:rsid w:val="009859DF"/>
    <w:rsid w:val="009A0B86"/>
    <w:rsid w:val="009C1847"/>
    <w:rsid w:val="009E54B2"/>
    <w:rsid w:val="009F5321"/>
    <w:rsid w:val="00A14D2D"/>
    <w:rsid w:val="00A259C2"/>
    <w:rsid w:val="00A45313"/>
    <w:rsid w:val="00A52870"/>
    <w:rsid w:val="00A712D3"/>
    <w:rsid w:val="00A759D1"/>
    <w:rsid w:val="00A802EC"/>
    <w:rsid w:val="00A83713"/>
    <w:rsid w:val="00AA1E6D"/>
    <w:rsid w:val="00AB0B2F"/>
    <w:rsid w:val="00AB1593"/>
    <w:rsid w:val="00AD6472"/>
    <w:rsid w:val="00B1110C"/>
    <w:rsid w:val="00B119D4"/>
    <w:rsid w:val="00B14F0D"/>
    <w:rsid w:val="00B17F70"/>
    <w:rsid w:val="00B33007"/>
    <w:rsid w:val="00B6795E"/>
    <w:rsid w:val="00B72073"/>
    <w:rsid w:val="00B747FA"/>
    <w:rsid w:val="00B75B50"/>
    <w:rsid w:val="00B76AD3"/>
    <w:rsid w:val="00BC1A63"/>
    <w:rsid w:val="00BC2B4C"/>
    <w:rsid w:val="00BC2E2E"/>
    <w:rsid w:val="00BC3F5A"/>
    <w:rsid w:val="00BD36C6"/>
    <w:rsid w:val="00BD7AE0"/>
    <w:rsid w:val="00BE1B69"/>
    <w:rsid w:val="00C03534"/>
    <w:rsid w:val="00C15788"/>
    <w:rsid w:val="00C17646"/>
    <w:rsid w:val="00C31D1C"/>
    <w:rsid w:val="00C4645C"/>
    <w:rsid w:val="00C50FB8"/>
    <w:rsid w:val="00C548D1"/>
    <w:rsid w:val="00C67405"/>
    <w:rsid w:val="00C70B1C"/>
    <w:rsid w:val="00C76192"/>
    <w:rsid w:val="00C80AFA"/>
    <w:rsid w:val="00C95A41"/>
    <w:rsid w:val="00CC0CBF"/>
    <w:rsid w:val="00CC4A8A"/>
    <w:rsid w:val="00CC5DEB"/>
    <w:rsid w:val="00CC7FE6"/>
    <w:rsid w:val="00D002F5"/>
    <w:rsid w:val="00D124C7"/>
    <w:rsid w:val="00D173DE"/>
    <w:rsid w:val="00D319FB"/>
    <w:rsid w:val="00D42D2E"/>
    <w:rsid w:val="00D55E08"/>
    <w:rsid w:val="00D75EE7"/>
    <w:rsid w:val="00D767DF"/>
    <w:rsid w:val="00D81B60"/>
    <w:rsid w:val="00D936CD"/>
    <w:rsid w:val="00D94813"/>
    <w:rsid w:val="00DA07D9"/>
    <w:rsid w:val="00DB4AE4"/>
    <w:rsid w:val="00DB689A"/>
    <w:rsid w:val="00DC30E0"/>
    <w:rsid w:val="00DD0FA3"/>
    <w:rsid w:val="00DE6C3A"/>
    <w:rsid w:val="00E07532"/>
    <w:rsid w:val="00E07D0D"/>
    <w:rsid w:val="00E179BE"/>
    <w:rsid w:val="00E71847"/>
    <w:rsid w:val="00E71D4E"/>
    <w:rsid w:val="00E823D3"/>
    <w:rsid w:val="00E87469"/>
    <w:rsid w:val="00E92CC8"/>
    <w:rsid w:val="00E954CB"/>
    <w:rsid w:val="00EA0A95"/>
    <w:rsid w:val="00EB4898"/>
    <w:rsid w:val="00EF5F98"/>
    <w:rsid w:val="00F13F7A"/>
    <w:rsid w:val="00F32B6F"/>
    <w:rsid w:val="00F525B8"/>
    <w:rsid w:val="00F55449"/>
    <w:rsid w:val="00F70AED"/>
    <w:rsid w:val="00FB1CD9"/>
    <w:rsid w:val="00FB7234"/>
    <w:rsid w:val="00FC7931"/>
    <w:rsid w:val="00FE13B2"/>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2" fillcolor="none [3209]" stroke="f" strokecolor="none [3041]">
      <v:fill color="none [3209]"/>
      <v:stroke color="none [3041]" weight="3pt" on="f"/>
      <v:shadow type="perspective" color="none [1609]" opacity=".5" offset="1pt,3pt" offset2="-1pt,2pt"/>
      <o:colormru v:ext="edit" colors="#f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5D1616"/>
    <w:pPr>
      <w:keepNext/>
      <w:keepLines/>
      <w:spacing w:line="276" w:lineRule="auto"/>
      <w:outlineLvl w:val="0"/>
    </w:pPr>
    <w:rPr>
      <w:rFonts w:ascii="HelveticaNeueLT Std" w:eastAsiaTheme="majorEastAsia" w:hAnsi="HelveticaNeueLT Std" w:cstheme="majorBidi"/>
      <w:b/>
      <w:bCs/>
      <w:color w:val="E36C0A" w:themeColor="accent6" w:themeShade="BF"/>
      <w:sz w:val="40"/>
      <w:szCs w:val="28"/>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basedOn w:val="Normal"/>
    <w:link w:val="EndnoteTextChar"/>
    <w:unhideWhenUsed/>
    <w:rsid w:val="00CC0CBF"/>
    <w:rPr>
      <w:szCs w:val="20"/>
    </w:rPr>
  </w:style>
  <w:style w:type="character" w:customStyle="1" w:styleId="EndnoteTextChar">
    <w:name w:val="Endnote Text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basedOn w:val="DefaultParagraphFont"/>
    <w:unhideWhenUsed/>
    <w:rsid w:val="00CC0CBF"/>
    <w:rPr>
      <w:vertAlign w:val="superscript"/>
    </w:rPr>
  </w:style>
  <w:style w:type="character" w:customStyle="1" w:styleId="Heading1Char">
    <w:name w:val="Heading 1 Char"/>
    <w:basedOn w:val="DefaultParagraphFont"/>
    <w:link w:val="Heading1"/>
    <w:uiPriority w:val="9"/>
    <w:rsid w:val="005D1616"/>
    <w:rPr>
      <w:rFonts w:ascii="HelveticaNeueLT Std" w:eastAsiaTheme="majorEastAsia" w:hAnsi="HelveticaNeueLT Std" w:cstheme="majorBidi"/>
      <w:b/>
      <w:bCs/>
      <w:color w:val="E36C0A" w:themeColor="accent6" w:themeShade="BF"/>
      <w:sz w:val="40"/>
      <w:szCs w:val="28"/>
    </w:rPr>
  </w:style>
  <w:style w:type="table" w:styleId="TableGrid">
    <w:name w:val="Table Grid"/>
    <w:basedOn w:val="TableNormal"/>
    <w:uiPriority w:val="59"/>
    <w:rsid w:val="00C03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basedOn w:val="Normal"/>
    <w:link w:val="FootnoteTextChar"/>
    <w:unhideWhenUsed/>
    <w:rsid w:val="002971A7"/>
    <w:rPr>
      <w:szCs w:val="20"/>
    </w:rPr>
  </w:style>
  <w:style w:type="character" w:customStyle="1" w:styleId="FootnoteTextChar">
    <w:name w:val="Footnote Text Char"/>
    <w:basedOn w:val="DefaultParagraphFont"/>
    <w:link w:val="FootnoteText"/>
    <w:rsid w:val="002971A7"/>
    <w:rPr>
      <w:rFonts w:ascii="Arial" w:eastAsia="Cambria" w:hAnsi="Arial" w:cs="Times New Roman"/>
      <w:sz w:val="20"/>
      <w:szCs w:val="20"/>
      <w:lang w:val="en-US"/>
    </w:rPr>
  </w:style>
  <w:style w:type="character" w:styleId="FootnoteReference">
    <w:name w:val="footnote reference"/>
    <w:basedOn w:val="DefaultParagraphFont"/>
    <w:unhideWhenUsed/>
    <w:rsid w:val="002971A7"/>
    <w:rPr>
      <w:vertAlign w:val="superscript"/>
    </w:rPr>
  </w:style>
  <w:style w:type="character" w:customStyle="1" w:styleId="apple-converted-space">
    <w:name w:val="apple-converted-space"/>
    <w:basedOn w:val="DefaultParagraphFont"/>
    <w:rsid w:val="00DB689A"/>
  </w:style>
  <w:style w:type="paragraph" w:styleId="Revision">
    <w:name w:val="Revision"/>
    <w:hidden/>
    <w:semiHidden/>
    <w:rsid w:val="00777E63"/>
    <w:pPr>
      <w:spacing w:after="0" w:line="240" w:lineRule="auto"/>
    </w:pPr>
    <w:rPr>
      <w:rFonts w:ascii="Arial" w:eastAsia="Cambria" w:hAnsi="Arial" w:cs="Times New Roman"/>
      <w:sz w:val="20"/>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5D1616"/>
    <w:pPr>
      <w:keepNext/>
      <w:keepLines/>
      <w:spacing w:line="276" w:lineRule="auto"/>
      <w:outlineLvl w:val="0"/>
    </w:pPr>
    <w:rPr>
      <w:rFonts w:ascii="HelveticaNeueLT Std" w:eastAsiaTheme="majorEastAsia" w:hAnsi="HelveticaNeueLT Std" w:cstheme="majorBidi"/>
      <w:b/>
      <w:bCs/>
      <w:color w:val="E36C0A" w:themeColor="accent6" w:themeShade="BF"/>
      <w:sz w:val="40"/>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basedOn w:val="Normal"/>
    <w:link w:val="EndnoteTextChar"/>
    <w:unhideWhenUsed/>
    <w:rsid w:val="00CC0CBF"/>
    <w:rPr>
      <w:szCs w:val="20"/>
    </w:rPr>
  </w:style>
  <w:style w:type="character" w:customStyle="1" w:styleId="EndnoteTextChar">
    <w:name w:val="Endnote Text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basedOn w:val="DefaultParagraphFont"/>
    <w:unhideWhenUsed/>
    <w:rsid w:val="00CC0CBF"/>
    <w:rPr>
      <w:vertAlign w:val="superscript"/>
    </w:rPr>
  </w:style>
  <w:style w:type="character" w:customStyle="1" w:styleId="Heading1Char">
    <w:name w:val="Heading 1 Char"/>
    <w:basedOn w:val="DefaultParagraphFont"/>
    <w:link w:val="Heading1"/>
    <w:uiPriority w:val="9"/>
    <w:rsid w:val="005D1616"/>
    <w:rPr>
      <w:rFonts w:ascii="HelveticaNeueLT Std" w:eastAsiaTheme="majorEastAsia" w:hAnsi="HelveticaNeueLT Std" w:cstheme="majorBidi"/>
      <w:b/>
      <w:bCs/>
      <w:color w:val="E36C0A" w:themeColor="accent6" w:themeShade="BF"/>
      <w:sz w:val="40"/>
      <w:szCs w:val="28"/>
    </w:rPr>
  </w:style>
  <w:style w:type="table" w:styleId="TableGrid">
    <w:name w:val="Table Grid"/>
    <w:basedOn w:val="TableNormal"/>
    <w:uiPriority w:val="59"/>
    <w:rsid w:val="00C03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basedOn w:val="Normal"/>
    <w:link w:val="FootnoteTextChar"/>
    <w:unhideWhenUsed/>
    <w:rsid w:val="002971A7"/>
    <w:rPr>
      <w:szCs w:val="20"/>
    </w:rPr>
  </w:style>
  <w:style w:type="character" w:customStyle="1" w:styleId="FootnoteTextChar">
    <w:name w:val="Footnote Text Char"/>
    <w:basedOn w:val="DefaultParagraphFont"/>
    <w:link w:val="FootnoteText"/>
    <w:rsid w:val="002971A7"/>
    <w:rPr>
      <w:rFonts w:ascii="Arial" w:eastAsia="Cambria" w:hAnsi="Arial" w:cs="Times New Roman"/>
      <w:sz w:val="20"/>
      <w:szCs w:val="20"/>
      <w:lang w:val="en-US"/>
    </w:rPr>
  </w:style>
  <w:style w:type="character" w:styleId="FootnoteReference">
    <w:name w:val="footnote reference"/>
    <w:basedOn w:val="DefaultParagraphFont"/>
    <w:unhideWhenUsed/>
    <w:rsid w:val="002971A7"/>
    <w:rPr>
      <w:vertAlign w:val="superscript"/>
    </w:rPr>
  </w:style>
  <w:style w:type="character" w:customStyle="1" w:styleId="apple-converted-space">
    <w:name w:val="apple-converted-space"/>
    <w:basedOn w:val="DefaultParagraphFont"/>
    <w:rsid w:val="00DB689A"/>
  </w:style>
  <w:style w:type="paragraph" w:styleId="Revision">
    <w:name w:val="Revision"/>
    <w:hidden/>
    <w:semiHidden/>
    <w:rsid w:val="00777E63"/>
    <w:pPr>
      <w:spacing w:after="0" w:line="240" w:lineRule="auto"/>
    </w:pPr>
    <w:rPr>
      <w:rFonts w:ascii="Arial" w:eastAsia="Cambria" w:hAnsi="Arial" w:cs="Times New Roman"/>
      <w:sz w:val="20"/>
      <w:szCs w:val="24"/>
      <w:lang w:val="en-US"/>
    </w:rPr>
  </w:style>
</w:styles>
</file>

<file path=word/webSettings.xml><?xml version="1.0" encoding="utf-8"?>
<w:webSettings xmlns:r="http://schemas.openxmlformats.org/officeDocument/2006/relationships" xmlns:w="http://schemas.openxmlformats.org/wordprocessingml/2006/main">
  <w:divs>
    <w:div w:id="307785942">
      <w:bodyDiv w:val="1"/>
      <w:marLeft w:val="0"/>
      <w:marRight w:val="0"/>
      <w:marTop w:val="0"/>
      <w:marBottom w:val="0"/>
      <w:divBdr>
        <w:top w:val="none" w:sz="0" w:space="0" w:color="auto"/>
        <w:left w:val="none" w:sz="0" w:space="0" w:color="auto"/>
        <w:bottom w:val="none" w:sz="0" w:space="0" w:color="auto"/>
        <w:right w:val="none" w:sz="0" w:space="0" w:color="auto"/>
      </w:divBdr>
    </w:div>
    <w:div w:id="584998279">
      <w:bodyDiv w:val="1"/>
      <w:marLeft w:val="0"/>
      <w:marRight w:val="0"/>
      <w:marTop w:val="0"/>
      <w:marBottom w:val="0"/>
      <w:divBdr>
        <w:top w:val="none" w:sz="0" w:space="0" w:color="auto"/>
        <w:left w:val="none" w:sz="0" w:space="0" w:color="auto"/>
        <w:bottom w:val="none" w:sz="0" w:space="0" w:color="auto"/>
        <w:right w:val="none" w:sz="0" w:space="0" w:color="auto"/>
      </w:divBdr>
    </w:div>
    <w:div w:id="624120384">
      <w:bodyDiv w:val="1"/>
      <w:marLeft w:val="0"/>
      <w:marRight w:val="0"/>
      <w:marTop w:val="0"/>
      <w:marBottom w:val="0"/>
      <w:divBdr>
        <w:top w:val="none" w:sz="0" w:space="0" w:color="auto"/>
        <w:left w:val="none" w:sz="0" w:space="0" w:color="auto"/>
        <w:bottom w:val="none" w:sz="0" w:space="0" w:color="auto"/>
        <w:right w:val="none" w:sz="0" w:space="0" w:color="auto"/>
      </w:divBdr>
    </w:div>
    <w:div w:id="16388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reporting.unhcr.org/node/253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96E96-74AC-D449-933D-FA6D2995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1170</Words>
  <Characters>6672</Characters>
  <Application>Microsoft Word 12.0.0</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ingridb</dc:creator>
  <cp:lastModifiedBy>laura quay</cp:lastModifiedBy>
  <cp:revision>2</cp:revision>
  <cp:lastPrinted>2013-09-26T03:11:00Z</cp:lastPrinted>
  <dcterms:created xsi:type="dcterms:W3CDTF">2017-03-01T10:02:00Z</dcterms:created>
  <dcterms:modified xsi:type="dcterms:W3CDTF">2017-03-01T10:02:00Z</dcterms:modified>
</cp:coreProperties>
</file>